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64" w:rsidRDefault="002B1064" w:rsidP="002B1064">
      <w:pPr>
        <w:pStyle w:val="Pa25"/>
        <w:spacing w:after="60"/>
        <w:rPr>
          <w:rFonts w:cs="Helvetica Neue"/>
          <w:color w:val="000000"/>
          <w:sz w:val="36"/>
          <w:szCs w:val="36"/>
        </w:rPr>
      </w:pPr>
      <w:r>
        <w:rPr>
          <w:rFonts w:cs="Helvetica Neue"/>
          <w:color w:val="000000"/>
          <w:sz w:val="36"/>
          <w:szCs w:val="36"/>
        </w:rPr>
        <w:t>Records Retention Checklist</w:t>
      </w:r>
    </w:p>
    <w:p w:rsidR="002B1064" w:rsidRDefault="002B1064" w:rsidP="002B1064">
      <w:pPr>
        <w:pStyle w:val="Pa29"/>
        <w:spacing w:before="100" w:after="60"/>
        <w:rPr>
          <w:rFonts w:cs="Helvetica Neue"/>
          <w:color w:val="000000"/>
          <w:sz w:val="22"/>
          <w:szCs w:val="22"/>
        </w:rPr>
      </w:pPr>
      <w:r>
        <w:rPr>
          <w:rFonts w:cs="Helvetica Neue"/>
          <w:color w:val="000000"/>
          <w:sz w:val="22"/>
          <w:szCs w:val="22"/>
        </w:rPr>
        <w:t>Five Years</w:t>
      </w:r>
    </w:p>
    <w:p w:rsidR="002B1064" w:rsidRDefault="002B1064" w:rsidP="002B1064">
      <w:pPr>
        <w:pStyle w:val="Pa29"/>
        <w:numPr>
          <w:ilvl w:val="0"/>
          <w:numId w:val="9"/>
        </w:numPr>
        <w:spacing w:before="100" w:after="6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Records related to verified positive drug test results</w:t>
      </w:r>
    </w:p>
    <w:p w:rsidR="002B1064" w:rsidRPr="002B1064" w:rsidRDefault="002B1064" w:rsidP="002B1064">
      <w:pPr>
        <w:pStyle w:val="Pa29"/>
        <w:spacing w:before="100" w:after="60"/>
        <w:ind w:firstLine="720"/>
        <w:rPr>
          <w:rFonts w:cs="Helvetica Neue"/>
          <w:color w:val="000000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󠄋 Employer copy of CCF</w:t>
      </w:r>
    </w:p>
    <w:p w:rsidR="002B1064" w:rsidRDefault="002B1064" w:rsidP="002B1064">
      <w:pPr>
        <w:pStyle w:val="Default"/>
        <w:spacing w:after="58"/>
        <w:ind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󠄋 Test result</w:t>
      </w:r>
    </w:p>
    <w:p w:rsidR="002B1064" w:rsidRDefault="002B1064" w:rsidP="002B1064">
      <w:pPr>
        <w:pStyle w:val="Default"/>
        <w:ind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󠄋 Documents presented by covered employee to dispute a test result</w:t>
      </w:r>
    </w:p>
    <w:p w:rsidR="002B1064" w:rsidRDefault="002B1064" w:rsidP="002B1064">
      <w:pPr>
        <w:pStyle w:val="Default"/>
        <w:rPr>
          <w:rFonts w:ascii="Gill Sans MT" w:hAnsi="Gill Sans MT" w:cs="Gill Sans MT"/>
          <w:sz w:val="22"/>
          <w:szCs w:val="22"/>
        </w:rPr>
      </w:pPr>
    </w:p>
    <w:p w:rsidR="002B1064" w:rsidRDefault="002B1064" w:rsidP="002B1064">
      <w:pPr>
        <w:pStyle w:val="Default"/>
        <w:numPr>
          <w:ilvl w:val="0"/>
          <w:numId w:val="8"/>
        </w:numPr>
        <w:spacing w:after="58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Alcohol test records with result of 0.02 or greater</w:t>
      </w:r>
    </w:p>
    <w:p w:rsidR="002B1064" w:rsidRDefault="002B1064" w:rsidP="002B1064">
      <w:pPr>
        <w:pStyle w:val="Default"/>
        <w:spacing w:after="58"/>
        <w:ind w:left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󠄋 Employer copy of ATF, including test result</w:t>
      </w:r>
    </w:p>
    <w:p w:rsidR="002B1064" w:rsidRDefault="002B1064" w:rsidP="002B1064">
      <w:pPr>
        <w:pStyle w:val="Default"/>
        <w:ind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󠄋 Documents presented by covered employee to dispute a test result</w:t>
      </w:r>
    </w:p>
    <w:p w:rsidR="002B1064" w:rsidRDefault="002B1064" w:rsidP="002B1064">
      <w:pPr>
        <w:pStyle w:val="Default"/>
        <w:ind w:firstLine="720"/>
        <w:rPr>
          <w:rFonts w:ascii="Gill Sans MT" w:hAnsi="Gill Sans MT" w:cs="Gill Sans MT"/>
          <w:sz w:val="22"/>
          <w:szCs w:val="22"/>
        </w:rPr>
      </w:pPr>
    </w:p>
    <w:p w:rsidR="002B1064" w:rsidRDefault="002B1064" w:rsidP="002B1064">
      <w:pPr>
        <w:pStyle w:val="Default"/>
        <w:numPr>
          <w:ilvl w:val="0"/>
          <w:numId w:val="8"/>
        </w:numPr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Documents related to a refusal to test</w:t>
      </w:r>
    </w:p>
    <w:p w:rsidR="002B1064" w:rsidRDefault="002B1064" w:rsidP="002B1064">
      <w:pPr>
        <w:pStyle w:val="Default"/>
        <w:ind w:left="720" w:firstLine="36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󠄋 Includes adulterated or substituted test results</w:t>
      </w:r>
    </w:p>
    <w:p w:rsidR="002B1064" w:rsidRDefault="002B1064" w:rsidP="002B1064">
      <w:pPr>
        <w:pStyle w:val="Default"/>
        <w:ind w:left="720" w:firstLine="360"/>
        <w:rPr>
          <w:rFonts w:ascii="Gill Sans MT" w:hAnsi="Gill Sans MT" w:cs="Gill Sans MT"/>
          <w:sz w:val="22"/>
          <w:szCs w:val="22"/>
        </w:rPr>
      </w:pPr>
    </w:p>
    <w:p w:rsidR="002B1064" w:rsidRDefault="002B1064" w:rsidP="002B1064">
      <w:pPr>
        <w:pStyle w:val="Default"/>
        <w:numPr>
          <w:ilvl w:val="0"/>
          <w:numId w:val="8"/>
        </w:numPr>
        <w:rPr>
          <w:rFonts w:ascii="Gill Sans MT" w:hAnsi="Gill Sans MT" w:cs="Gill Sans MT"/>
          <w:sz w:val="22"/>
          <w:szCs w:val="22"/>
        </w:rPr>
      </w:pPr>
      <w:r w:rsidRPr="002B1064">
        <w:rPr>
          <w:rFonts w:ascii="Gill Sans MT" w:hAnsi="Gill Sans MT" w:cs="Gill Sans MT"/>
          <w:sz w:val="22"/>
          <w:szCs w:val="22"/>
        </w:rPr>
        <w:t>SAP referral/Return-to-duty/Follow-up testing</w:t>
      </w:r>
    </w:p>
    <w:p w:rsidR="002B1064" w:rsidRPr="002B1064" w:rsidRDefault="002B1064" w:rsidP="002B1064">
      <w:pPr>
        <w:pStyle w:val="Default"/>
        <w:ind w:left="720" w:firstLine="36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󠄋 </w:t>
      </w:r>
      <w:r w:rsidRPr="002B1064">
        <w:rPr>
          <w:rFonts w:ascii="Gill Sans MT" w:hAnsi="Gill Sans MT" w:cs="Gill Sans MT"/>
          <w:sz w:val="22"/>
          <w:szCs w:val="22"/>
        </w:rPr>
        <w:t xml:space="preserve">Documents pertaining to SAP’s initial assessment of individual </w:t>
      </w:r>
    </w:p>
    <w:p w:rsidR="002B1064" w:rsidRDefault="002B1064" w:rsidP="002B1064">
      <w:pPr>
        <w:pStyle w:val="Default"/>
        <w:spacing w:after="58"/>
        <w:ind w:left="1350" w:hanging="27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󠄋 Documents concerning employee’s entry into and completion of SAP- recommended treatment program </w:t>
      </w:r>
    </w:p>
    <w:p w:rsidR="002B1064" w:rsidRDefault="002B1064" w:rsidP="002B1064">
      <w:pPr>
        <w:pStyle w:val="Default"/>
        <w:spacing w:after="58"/>
        <w:ind w:left="1350" w:hanging="27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󠄋 Records pertaining to SAP’s reassessment of individual following education/treatment, including SAP’s determination of employee’s suitability to return to safety-sensitive duties</w:t>
      </w:r>
    </w:p>
    <w:p w:rsidR="002B1064" w:rsidRDefault="002B1064" w:rsidP="002B1064">
      <w:pPr>
        <w:pStyle w:val="Default"/>
        <w:ind w:left="360"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󠄋 Records of follow-up tests and follow-up testing schedules</w:t>
      </w:r>
    </w:p>
    <w:p w:rsidR="002B1064" w:rsidRDefault="002B1064" w:rsidP="002B1064">
      <w:pPr>
        <w:pStyle w:val="Default"/>
        <w:ind w:left="1440"/>
        <w:rPr>
          <w:rFonts w:ascii="Gill Sans MT" w:hAnsi="Gill Sans MT" w:cs="Gill Sans MT"/>
          <w:sz w:val="22"/>
          <w:szCs w:val="22"/>
        </w:rPr>
      </w:pPr>
    </w:p>
    <w:p w:rsidR="002B1064" w:rsidRPr="002B1064" w:rsidRDefault="002B1064" w:rsidP="002B1064">
      <w:pPr>
        <w:pStyle w:val="Default"/>
        <w:numPr>
          <w:ilvl w:val="0"/>
          <w:numId w:val="8"/>
        </w:numPr>
        <w:rPr>
          <w:rFonts w:ascii="Gill Sans MT" w:hAnsi="Gill Sans MT" w:cs="Gill Sans MT"/>
          <w:sz w:val="22"/>
          <w:szCs w:val="22"/>
        </w:rPr>
      </w:pPr>
      <w:r w:rsidRPr="002B1064">
        <w:rPr>
          <w:rFonts w:ascii="Gill Sans MT" w:hAnsi="Gill Sans MT" w:cs="Gill Sans MT"/>
          <w:sz w:val="22"/>
          <w:szCs w:val="22"/>
        </w:rPr>
        <w:t>Copies of annual MIS reports</w:t>
      </w:r>
    </w:p>
    <w:p w:rsidR="002B1064" w:rsidRDefault="002B1064" w:rsidP="002B1064">
      <w:pPr>
        <w:pStyle w:val="Default"/>
        <w:rPr>
          <w:rFonts w:ascii="Gill Sans MT" w:hAnsi="Gill Sans MT" w:cs="Gill Sans MT"/>
          <w:sz w:val="22"/>
          <w:szCs w:val="22"/>
        </w:rPr>
      </w:pPr>
    </w:p>
    <w:p w:rsidR="002B1064" w:rsidRDefault="002B1064" w:rsidP="002B1064">
      <w:pPr>
        <w:pStyle w:val="Pa29"/>
        <w:spacing w:before="100" w:after="60"/>
        <w:rPr>
          <w:rFonts w:cs="Helvetica Neue"/>
          <w:color w:val="000000"/>
          <w:sz w:val="22"/>
          <w:szCs w:val="22"/>
        </w:rPr>
      </w:pPr>
      <w:r>
        <w:rPr>
          <w:rFonts w:cs="Helvetica Neue"/>
          <w:color w:val="000000"/>
          <w:sz w:val="22"/>
          <w:szCs w:val="22"/>
        </w:rPr>
        <w:t>Three Years</w:t>
      </w:r>
    </w:p>
    <w:p w:rsidR="002B1064" w:rsidRDefault="002B1064" w:rsidP="002B1064">
      <w:pPr>
        <w:pStyle w:val="Default"/>
        <w:numPr>
          <w:ilvl w:val="1"/>
          <w:numId w:val="2"/>
        </w:numPr>
        <w:spacing w:after="58"/>
        <w:ind w:hanging="36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1. Previous DOT employer records request documentation</w:t>
      </w:r>
    </w:p>
    <w:p w:rsidR="002B1064" w:rsidRDefault="002B1064" w:rsidP="002B1064">
      <w:pPr>
        <w:pStyle w:val="Default"/>
        <w:numPr>
          <w:ilvl w:val="8"/>
          <w:numId w:val="2"/>
        </w:numPr>
        <w:tabs>
          <w:tab w:val="left" w:pos="360"/>
        </w:tabs>
        <w:spacing w:after="58"/>
        <w:ind w:left="990" w:hanging="117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ab/>
        <w:t xml:space="preserve">󠄋 Records of previous positive drug tests, alcohol tests with a result of 0.02 or greater, test </w:t>
      </w:r>
      <w:r w:rsidR="00D1098F">
        <w:rPr>
          <w:rFonts w:ascii="Gill Sans MT" w:hAnsi="Gill Sans MT" w:cs="Gill Sans MT"/>
          <w:sz w:val="22"/>
          <w:szCs w:val="22"/>
        </w:rPr>
        <w:t xml:space="preserve">  </w:t>
      </w:r>
      <w:r>
        <w:rPr>
          <w:rFonts w:ascii="Gill Sans MT" w:hAnsi="Gill Sans MT" w:cs="Gill Sans MT"/>
          <w:sz w:val="22"/>
          <w:szCs w:val="22"/>
        </w:rPr>
        <w:t>refusals, and/or any other DOT rule violation</w:t>
      </w:r>
    </w:p>
    <w:p w:rsidR="002B1064" w:rsidRDefault="002B1064" w:rsidP="002B1064">
      <w:pPr>
        <w:pStyle w:val="Default"/>
        <w:spacing w:after="58"/>
        <w:ind w:left="540" w:firstLine="45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󠄋 Records documenting applicant’s completion of return-to-duty process󠄋</w:t>
      </w:r>
    </w:p>
    <w:p w:rsidR="002B1064" w:rsidRDefault="00D1098F" w:rsidP="00D1098F">
      <w:pPr>
        <w:pStyle w:val="Default"/>
        <w:spacing w:after="58"/>
        <w:ind w:left="99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󠄋</w:t>
      </w:r>
      <w:r w:rsidR="002B1064">
        <w:rPr>
          <w:rFonts w:ascii="Gill Sans MT" w:hAnsi="Gill Sans MT" w:cs="Gill Sans MT"/>
          <w:sz w:val="22"/>
          <w:szCs w:val="22"/>
        </w:rPr>
        <w:t xml:space="preserve"> Records documenting good faith effort to obtain records from previous DOT employers,            including applicant consent forms </w:t>
      </w:r>
    </w:p>
    <w:p w:rsidR="002B1064" w:rsidRDefault="002B1064" w:rsidP="002B1064">
      <w:pPr>
        <w:pStyle w:val="Default"/>
        <w:numPr>
          <w:ilvl w:val="1"/>
          <w:numId w:val="2"/>
        </w:numPr>
        <w:ind w:hanging="360"/>
        <w:rPr>
          <w:rFonts w:ascii="Gill Sans MT" w:hAnsi="Gill Sans MT" w:cs="Gill Sans MT"/>
          <w:sz w:val="22"/>
          <w:szCs w:val="22"/>
        </w:rPr>
      </w:pPr>
    </w:p>
    <w:p w:rsidR="002B1064" w:rsidRDefault="002B1064" w:rsidP="002B1064">
      <w:pPr>
        <w:pStyle w:val="Pa29"/>
        <w:spacing w:before="100" w:after="60"/>
        <w:rPr>
          <w:rFonts w:cs="Helvetica Neue"/>
          <w:color w:val="000000"/>
          <w:sz w:val="22"/>
          <w:szCs w:val="22"/>
        </w:rPr>
      </w:pPr>
      <w:r>
        <w:rPr>
          <w:rFonts w:cs="Helvetica Neue"/>
          <w:color w:val="000000"/>
          <w:sz w:val="22"/>
          <w:szCs w:val="22"/>
        </w:rPr>
        <w:t>Two Years</w:t>
      </w:r>
    </w:p>
    <w:p w:rsidR="002B1064" w:rsidRDefault="002B1064" w:rsidP="002B1064">
      <w:pPr>
        <w:pStyle w:val="Pa47"/>
        <w:spacing w:after="60"/>
        <w:ind w:left="180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>1. Records related to collection process</w:t>
      </w:r>
    </w:p>
    <w:p w:rsidR="002B1064" w:rsidRDefault="00D1098F" w:rsidP="00D1098F">
      <w:pPr>
        <w:pStyle w:val="Default"/>
        <w:spacing w:after="58"/>
        <w:ind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  <w:highlight w:val="lightGray"/>
        </w:rPr>
        <w:t>󠄋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="002B1064">
        <w:rPr>
          <w:rFonts w:ascii="Gill Sans MT" w:hAnsi="Gill Sans MT" w:cs="Gill Sans MT"/>
          <w:sz w:val="22"/>
          <w:szCs w:val="22"/>
        </w:rPr>
        <w:t>Collection log books (if used)</w:t>
      </w:r>
    </w:p>
    <w:p w:rsidR="002B1064" w:rsidRDefault="00D1098F" w:rsidP="00D1098F">
      <w:pPr>
        <w:pStyle w:val="Default"/>
        <w:spacing w:after="58"/>
        <w:ind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  <w:highlight w:val="lightGray"/>
        </w:rPr>
        <w:t>󠄋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="002B1064">
        <w:rPr>
          <w:rFonts w:ascii="Gill Sans MT" w:hAnsi="Gill Sans MT" w:cs="Gill Sans MT"/>
          <w:sz w:val="22"/>
          <w:szCs w:val="22"/>
        </w:rPr>
        <w:t>Documents relating to random selection process (e.g., random selection lists)</w:t>
      </w:r>
    </w:p>
    <w:p w:rsidR="002B1064" w:rsidRDefault="00D1098F" w:rsidP="00D1098F">
      <w:pPr>
        <w:pStyle w:val="Default"/>
        <w:ind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  <w:highlight w:val="lightGray"/>
        </w:rPr>
        <w:t>󠄋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="002B1064">
        <w:rPr>
          <w:rFonts w:ascii="Gill Sans MT" w:hAnsi="Gill Sans MT" w:cs="Gill Sans MT"/>
          <w:sz w:val="22"/>
          <w:szCs w:val="22"/>
        </w:rPr>
        <w:t>Documents generated in connection with decisions to administer reasonable suspicion tests</w:t>
      </w:r>
    </w:p>
    <w:p w:rsidR="00D1098F" w:rsidRDefault="00D1098F" w:rsidP="002B1064">
      <w:pPr>
        <w:pStyle w:val="Default"/>
        <w:rPr>
          <w:rFonts w:ascii="Gill Sans MT" w:hAnsi="Gill Sans MT" w:cs="Gill Sans MT"/>
          <w:sz w:val="14"/>
          <w:szCs w:val="14"/>
        </w:rPr>
      </w:pPr>
    </w:p>
    <w:p w:rsidR="00D1098F" w:rsidRDefault="00D1098F" w:rsidP="002B1064">
      <w:pPr>
        <w:pStyle w:val="Default"/>
        <w:rPr>
          <w:rFonts w:ascii="Gill Sans MT" w:hAnsi="Gill Sans MT" w:cs="Gill Sans MT"/>
          <w:sz w:val="14"/>
          <w:szCs w:val="14"/>
        </w:rPr>
      </w:pPr>
    </w:p>
    <w:p w:rsidR="00D1098F" w:rsidRDefault="00D1098F" w:rsidP="002B1064">
      <w:pPr>
        <w:pStyle w:val="Default"/>
        <w:rPr>
          <w:rFonts w:ascii="Gill Sans MT" w:hAnsi="Gill Sans MT" w:cs="Gill Sans MT"/>
          <w:sz w:val="14"/>
          <w:szCs w:val="14"/>
        </w:rPr>
      </w:pPr>
    </w:p>
    <w:p w:rsidR="00D1098F" w:rsidRDefault="00D1098F" w:rsidP="002B1064">
      <w:pPr>
        <w:pStyle w:val="Default"/>
        <w:rPr>
          <w:rFonts w:ascii="Gill Sans MT" w:hAnsi="Gill Sans MT" w:cs="Gill Sans MT"/>
          <w:sz w:val="14"/>
          <w:szCs w:val="14"/>
        </w:rPr>
      </w:pPr>
    </w:p>
    <w:p w:rsidR="00D1098F" w:rsidRDefault="00D1098F" w:rsidP="002B1064">
      <w:pPr>
        <w:pStyle w:val="Default"/>
        <w:rPr>
          <w:rFonts w:ascii="Gill Sans MT" w:hAnsi="Gill Sans MT" w:cs="Gill Sans MT"/>
          <w:sz w:val="14"/>
          <w:szCs w:val="14"/>
        </w:rPr>
      </w:pPr>
    </w:p>
    <w:p w:rsidR="00D1098F" w:rsidRDefault="00D1098F" w:rsidP="002B1064">
      <w:pPr>
        <w:pStyle w:val="Default"/>
        <w:rPr>
          <w:rFonts w:ascii="Gill Sans MT" w:hAnsi="Gill Sans MT" w:cs="Gill Sans MT"/>
          <w:sz w:val="14"/>
          <w:szCs w:val="14"/>
        </w:rPr>
      </w:pPr>
    </w:p>
    <w:p w:rsidR="00D1098F" w:rsidRDefault="00D1098F" w:rsidP="002B1064">
      <w:pPr>
        <w:pStyle w:val="Default"/>
        <w:rPr>
          <w:rFonts w:ascii="Gill Sans MT" w:hAnsi="Gill Sans MT" w:cs="Gill Sans MT"/>
          <w:sz w:val="14"/>
          <w:szCs w:val="14"/>
        </w:rPr>
      </w:pPr>
    </w:p>
    <w:p w:rsidR="00D1098F" w:rsidRDefault="00D1098F" w:rsidP="002B1064">
      <w:pPr>
        <w:pStyle w:val="Default"/>
        <w:rPr>
          <w:rFonts w:ascii="Gill Sans MT" w:hAnsi="Gill Sans MT" w:cs="Gill Sans MT"/>
          <w:sz w:val="14"/>
          <w:szCs w:val="14"/>
        </w:rPr>
      </w:pPr>
    </w:p>
    <w:p w:rsidR="00D1098F" w:rsidRDefault="00D1098F" w:rsidP="002B1064">
      <w:pPr>
        <w:pStyle w:val="Default"/>
        <w:rPr>
          <w:rFonts w:ascii="Gill Sans MT" w:hAnsi="Gill Sans MT" w:cs="Gill Sans MT"/>
          <w:sz w:val="14"/>
          <w:szCs w:val="14"/>
        </w:rPr>
      </w:pPr>
    </w:p>
    <w:p w:rsidR="00D1098F" w:rsidRDefault="00D1098F" w:rsidP="002B1064">
      <w:pPr>
        <w:pStyle w:val="Default"/>
        <w:rPr>
          <w:rFonts w:ascii="Gill Sans MT" w:hAnsi="Gill Sans MT" w:cs="Gill Sans MT"/>
          <w:sz w:val="14"/>
          <w:szCs w:val="14"/>
        </w:rPr>
      </w:pPr>
    </w:p>
    <w:p w:rsidR="00D1098F" w:rsidRDefault="00D1098F" w:rsidP="002B1064">
      <w:pPr>
        <w:pStyle w:val="Default"/>
        <w:rPr>
          <w:rFonts w:ascii="Gill Sans MT" w:hAnsi="Gill Sans MT" w:cs="Gill Sans MT"/>
          <w:sz w:val="14"/>
          <w:szCs w:val="14"/>
        </w:rPr>
      </w:pPr>
    </w:p>
    <w:p w:rsidR="00D1098F" w:rsidRDefault="00D1098F" w:rsidP="002B1064">
      <w:pPr>
        <w:pStyle w:val="Default"/>
        <w:rPr>
          <w:rFonts w:ascii="Gill Sans MT" w:hAnsi="Gill Sans MT" w:cs="Gill Sans MT"/>
          <w:sz w:val="14"/>
          <w:szCs w:val="14"/>
        </w:rPr>
      </w:pPr>
    </w:p>
    <w:p w:rsidR="00D1098F" w:rsidRDefault="00D1098F" w:rsidP="002B1064">
      <w:pPr>
        <w:pStyle w:val="Default"/>
        <w:rPr>
          <w:rFonts w:ascii="Gill Sans MT" w:hAnsi="Gill Sans MT" w:cs="Gill Sans MT"/>
          <w:sz w:val="14"/>
          <w:szCs w:val="14"/>
        </w:rPr>
      </w:pPr>
    </w:p>
    <w:p w:rsidR="00D1098F" w:rsidRDefault="00D1098F" w:rsidP="002B1064">
      <w:pPr>
        <w:pStyle w:val="Default"/>
        <w:rPr>
          <w:rFonts w:ascii="Gill Sans MT" w:hAnsi="Gill Sans MT" w:cs="Gill Sans MT"/>
          <w:sz w:val="14"/>
          <w:szCs w:val="14"/>
        </w:rPr>
      </w:pPr>
    </w:p>
    <w:p w:rsidR="002B1064" w:rsidRDefault="002B1064" w:rsidP="002B1064">
      <w:pPr>
        <w:pStyle w:val="Default"/>
        <w:rPr>
          <w:rFonts w:ascii="Gill Sans MT" w:hAnsi="Gill Sans MT" w:cs="Gill Sans MT"/>
          <w:sz w:val="14"/>
          <w:szCs w:val="14"/>
        </w:rPr>
      </w:pPr>
      <w:r>
        <w:rPr>
          <w:rFonts w:ascii="Gill Sans MT" w:hAnsi="Gill Sans MT" w:cs="Gill Sans MT"/>
          <w:sz w:val="14"/>
          <w:szCs w:val="14"/>
        </w:rPr>
        <w:t xml:space="preserve">FEDERAL TRANSIT ADMINISTRATION 107 APPENDIX B: CHECKLISTS </w:t>
      </w:r>
    </w:p>
    <w:p w:rsidR="002B1064" w:rsidRDefault="002B1064" w:rsidP="002B1064">
      <w:pPr>
        <w:pStyle w:val="Default"/>
        <w:pageBreakBefore/>
        <w:rPr>
          <w:rFonts w:ascii="Gill Sans MT" w:hAnsi="Gill Sans MT" w:cs="Gill Sans MT"/>
          <w:sz w:val="14"/>
          <w:szCs w:val="14"/>
        </w:rPr>
      </w:pPr>
    </w:p>
    <w:p w:rsidR="002B1064" w:rsidRDefault="00D1098F" w:rsidP="00D1098F">
      <w:pPr>
        <w:pStyle w:val="Default"/>
        <w:spacing w:after="58"/>
        <w:ind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  <w:highlight w:val="lightGray"/>
        </w:rPr>
        <w:t>󠄋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="002B1064">
        <w:rPr>
          <w:rFonts w:ascii="Gill Sans MT" w:hAnsi="Gill Sans MT" w:cs="Gill Sans MT"/>
          <w:sz w:val="22"/>
          <w:szCs w:val="22"/>
        </w:rPr>
        <w:t>Documents generated in connection with decisions on post-accident testing</w:t>
      </w:r>
    </w:p>
    <w:p w:rsidR="002B1064" w:rsidRDefault="00D1098F" w:rsidP="00D1098F">
      <w:pPr>
        <w:pStyle w:val="Default"/>
        <w:ind w:left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  <w:highlight w:val="lightGray"/>
        </w:rPr>
        <w:t>󠄋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="002B1064">
        <w:rPr>
          <w:rFonts w:ascii="Gill Sans MT" w:hAnsi="Gill Sans MT" w:cs="Gill Sans MT"/>
          <w:sz w:val="22"/>
          <w:szCs w:val="22"/>
        </w:rPr>
        <w:t xml:space="preserve">MRO documents verifying existence of medical explanation of inability of an employee to provide adequate urine or </w:t>
      </w:r>
      <w:proofErr w:type="gramStart"/>
      <w:r w:rsidR="002B1064">
        <w:rPr>
          <w:rFonts w:ascii="Gill Sans MT" w:hAnsi="Gill Sans MT" w:cs="Gill Sans MT"/>
          <w:sz w:val="22"/>
          <w:szCs w:val="22"/>
        </w:rPr>
        <w:t>breath</w:t>
      </w:r>
      <w:proofErr w:type="gramEnd"/>
      <w:r w:rsidR="002B1064">
        <w:rPr>
          <w:rFonts w:ascii="Gill Sans MT" w:hAnsi="Gill Sans MT" w:cs="Gill Sans MT"/>
          <w:sz w:val="22"/>
          <w:szCs w:val="22"/>
        </w:rPr>
        <w:t xml:space="preserve"> sample</w:t>
      </w:r>
    </w:p>
    <w:p w:rsidR="002B1064" w:rsidRDefault="002B1064" w:rsidP="002B1064">
      <w:pPr>
        <w:pStyle w:val="Default"/>
        <w:rPr>
          <w:rFonts w:ascii="Gill Sans MT" w:hAnsi="Gill Sans MT" w:cs="Gill Sans MT"/>
          <w:sz w:val="22"/>
          <w:szCs w:val="22"/>
        </w:rPr>
      </w:pPr>
    </w:p>
    <w:p w:rsidR="002B1064" w:rsidRDefault="002B1064" w:rsidP="002B1064">
      <w:pPr>
        <w:pStyle w:val="Pa47"/>
        <w:spacing w:after="60"/>
        <w:ind w:left="180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>2. Records relating to employee training</w:t>
      </w:r>
    </w:p>
    <w:p w:rsidR="002B1064" w:rsidRDefault="00D1098F" w:rsidP="00D1098F">
      <w:pPr>
        <w:pStyle w:val="Default"/>
        <w:spacing w:after="58"/>
        <w:ind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  <w:highlight w:val="lightGray"/>
        </w:rPr>
        <w:t>󠄋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="002B1064">
        <w:rPr>
          <w:rFonts w:ascii="Gill Sans MT" w:hAnsi="Gill Sans MT" w:cs="Gill Sans MT"/>
          <w:sz w:val="22"/>
          <w:szCs w:val="22"/>
        </w:rPr>
        <w:t>Training materials on drug-use awareness and alcohol misuse</w:t>
      </w:r>
    </w:p>
    <w:p w:rsidR="002B1064" w:rsidRDefault="00D1098F" w:rsidP="00D1098F">
      <w:pPr>
        <w:pStyle w:val="Default"/>
        <w:spacing w:after="58"/>
        <w:ind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  <w:highlight w:val="lightGray"/>
        </w:rPr>
        <w:t>󠄋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="002B1064">
        <w:rPr>
          <w:rFonts w:ascii="Gill Sans MT" w:hAnsi="Gill Sans MT" w:cs="Gill Sans MT"/>
          <w:sz w:val="22"/>
          <w:szCs w:val="22"/>
        </w:rPr>
        <w:t>Employer policy on prohibited drug use and alcohol misuse</w:t>
      </w:r>
    </w:p>
    <w:p w:rsidR="002B1064" w:rsidRDefault="00D1098F" w:rsidP="00D1098F">
      <w:pPr>
        <w:pStyle w:val="Default"/>
        <w:spacing w:after="58"/>
        <w:ind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  <w:highlight w:val="lightGray"/>
        </w:rPr>
        <w:t>󠄋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="002B1064">
        <w:rPr>
          <w:rFonts w:ascii="Gill Sans MT" w:hAnsi="Gill Sans MT" w:cs="Gill Sans MT"/>
          <w:sz w:val="22"/>
          <w:szCs w:val="22"/>
        </w:rPr>
        <w:t>Names of covered employees who attended training, and dates/times of such training</w:t>
      </w:r>
    </w:p>
    <w:p w:rsidR="002B1064" w:rsidRDefault="00D1098F" w:rsidP="00D1098F">
      <w:pPr>
        <w:pStyle w:val="Default"/>
        <w:spacing w:after="58"/>
        <w:ind w:left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  <w:highlight w:val="lightGray"/>
        </w:rPr>
        <w:t>󠄋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="002B1064">
        <w:rPr>
          <w:rFonts w:ascii="Gill Sans MT" w:hAnsi="Gill Sans MT" w:cs="Gill Sans MT"/>
          <w:sz w:val="22"/>
          <w:szCs w:val="22"/>
        </w:rPr>
        <w:t>Documentation of training provided to supervisors to qualify them to make reasonable suspicion determinations</w:t>
      </w:r>
    </w:p>
    <w:p w:rsidR="002B1064" w:rsidRDefault="00D1098F" w:rsidP="00D1098F">
      <w:pPr>
        <w:pStyle w:val="Default"/>
        <w:ind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  <w:highlight w:val="lightGray"/>
        </w:rPr>
        <w:t>󠄋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="002B1064">
        <w:rPr>
          <w:rFonts w:ascii="Gill Sans MT" w:hAnsi="Gill Sans MT" w:cs="Gill Sans MT"/>
          <w:sz w:val="22"/>
          <w:szCs w:val="22"/>
        </w:rPr>
        <w:t>Certification that any training conducted complies with the requirements of §655.14</w:t>
      </w:r>
    </w:p>
    <w:p w:rsidR="002B1064" w:rsidRDefault="002B1064" w:rsidP="002B1064">
      <w:pPr>
        <w:pStyle w:val="Default"/>
        <w:rPr>
          <w:rFonts w:ascii="Gill Sans MT" w:hAnsi="Gill Sans MT" w:cs="Gill Sans MT"/>
          <w:sz w:val="22"/>
          <w:szCs w:val="22"/>
        </w:rPr>
      </w:pPr>
    </w:p>
    <w:p w:rsidR="002B1064" w:rsidRDefault="002B1064" w:rsidP="002B1064">
      <w:pPr>
        <w:pStyle w:val="Pa29"/>
        <w:spacing w:before="100" w:after="60"/>
        <w:rPr>
          <w:rFonts w:cs="Helvetica Neue"/>
          <w:color w:val="000000"/>
          <w:sz w:val="22"/>
          <w:szCs w:val="22"/>
        </w:rPr>
      </w:pPr>
      <w:r>
        <w:rPr>
          <w:rFonts w:cs="Helvetica Neue"/>
          <w:color w:val="000000"/>
          <w:sz w:val="22"/>
          <w:szCs w:val="22"/>
        </w:rPr>
        <w:t>One Year</w:t>
      </w:r>
    </w:p>
    <w:p w:rsidR="002B1064" w:rsidRDefault="002B1064" w:rsidP="002B1064">
      <w:pPr>
        <w:pStyle w:val="Pa47"/>
        <w:spacing w:after="60"/>
        <w:ind w:left="180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>1. Records of verified negative drug test results</w:t>
      </w:r>
    </w:p>
    <w:p w:rsidR="002B1064" w:rsidRDefault="00D1098F" w:rsidP="00D1098F">
      <w:pPr>
        <w:pStyle w:val="Default"/>
        <w:spacing w:after="58"/>
        <w:ind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- </w:t>
      </w:r>
      <w:r w:rsidR="002B1064">
        <w:rPr>
          <w:rFonts w:ascii="Gill Sans MT" w:hAnsi="Gill Sans MT" w:cs="Gill Sans MT"/>
          <w:sz w:val="22"/>
          <w:szCs w:val="22"/>
        </w:rPr>
        <w:t>Employer copy of CCF</w:t>
      </w:r>
    </w:p>
    <w:p w:rsidR="002B1064" w:rsidRDefault="00D1098F" w:rsidP="00D1098F">
      <w:pPr>
        <w:pStyle w:val="Default"/>
        <w:ind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- </w:t>
      </w:r>
      <w:r w:rsidR="002B1064">
        <w:rPr>
          <w:rFonts w:ascii="Gill Sans MT" w:hAnsi="Gill Sans MT" w:cs="Gill Sans MT"/>
          <w:sz w:val="22"/>
          <w:szCs w:val="22"/>
        </w:rPr>
        <w:t>Test result</w:t>
      </w:r>
    </w:p>
    <w:p w:rsidR="002B1064" w:rsidRDefault="002B1064" w:rsidP="002B1064">
      <w:pPr>
        <w:pStyle w:val="Default"/>
        <w:rPr>
          <w:rFonts w:ascii="Gill Sans MT" w:hAnsi="Gill Sans MT" w:cs="Gill Sans MT"/>
          <w:sz w:val="22"/>
          <w:szCs w:val="22"/>
        </w:rPr>
      </w:pPr>
    </w:p>
    <w:p w:rsidR="002B1064" w:rsidRDefault="002B1064" w:rsidP="002B1064">
      <w:pPr>
        <w:pStyle w:val="Pa47"/>
        <w:spacing w:after="60"/>
        <w:ind w:left="180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>2. Alcohol test records with result less than 0.02</w:t>
      </w:r>
    </w:p>
    <w:p w:rsidR="002B1064" w:rsidRDefault="00D1098F" w:rsidP="00D1098F">
      <w:pPr>
        <w:pStyle w:val="Default"/>
        <w:ind w:firstLine="72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  <w:highlight w:val="lightGray"/>
        </w:rPr>
        <w:t>󠄋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="002B1064">
        <w:rPr>
          <w:rFonts w:ascii="Gill Sans MT" w:hAnsi="Gill Sans MT" w:cs="Gill Sans MT"/>
          <w:sz w:val="22"/>
          <w:szCs w:val="22"/>
        </w:rPr>
        <w:t>Employer copy of ATF, including test result</w:t>
      </w:r>
    </w:p>
    <w:p w:rsidR="00DD05B3" w:rsidRDefault="00DD05B3"/>
    <w:p w:rsidR="00D1098F" w:rsidRDefault="00D1098F"/>
    <w:p w:rsidR="00D1098F" w:rsidRDefault="00D1098F"/>
    <w:p w:rsidR="00D1098F" w:rsidRDefault="00D1098F"/>
    <w:p w:rsidR="00D1098F" w:rsidRDefault="00D1098F"/>
    <w:p w:rsidR="00D1098F" w:rsidRDefault="00D1098F"/>
    <w:p w:rsidR="00D1098F" w:rsidRDefault="00D1098F"/>
    <w:p w:rsidR="00D1098F" w:rsidRDefault="00D1098F"/>
    <w:p w:rsidR="00D1098F" w:rsidRDefault="00D1098F"/>
    <w:p w:rsidR="00D1098F" w:rsidRDefault="00D1098F"/>
    <w:p w:rsidR="00D1098F" w:rsidRDefault="00D1098F"/>
    <w:p w:rsidR="00D1098F" w:rsidRDefault="00D1098F"/>
    <w:p w:rsidR="00D1098F" w:rsidRDefault="00D1098F"/>
    <w:p w:rsidR="00D1098F" w:rsidRDefault="00D1098F"/>
    <w:p w:rsidR="00D1098F" w:rsidRDefault="00D1098F"/>
    <w:p w:rsidR="00D1098F" w:rsidRDefault="00D1098F"/>
    <w:p w:rsidR="00D1098F" w:rsidRDefault="004C78E4">
      <w:hyperlink r:id="rId5" w:history="1">
        <w:r w:rsidR="00D1098F" w:rsidRPr="00F3246F">
          <w:rPr>
            <w:rStyle w:val="Hyperlink"/>
          </w:rPr>
          <w:t>https://www.transit.dot.gov/research-innovation/implementation-guidelines-drug-and-alcohol-regulations-public-transportation</w:t>
        </w:r>
      </w:hyperlink>
      <w:bookmarkStart w:id="0" w:name="_GoBack"/>
      <w:bookmarkEnd w:id="0"/>
    </w:p>
    <w:sectPr w:rsidR="00D1098F" w:rsidSect="002B1064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797D8C8"/>
    <w:multiLevelType w:val="hybridMultilevel"/>
    <w:tmpl w:val="150AAA3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22DC60"/>
    <w:multiLevelType w:val="hybridMultilevel"/>
    <w:tmpl w:val="F9B351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03B336"/>
    <w:multiLevelType w:val="hybridMultilevel"/>
    <w:tmpl w:val="1D91C98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E270B0"/>
    <w:multiLevelType w:val="hybridMultilevel"/>
    <w:tmpl w:val="A5796A3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EA0BF7"/>
    <w:multiLevelType w:val="hybridMultilevel"/>
    <w:tmpl w:val="0944C71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B63CBF"/>
    <w:multiLevelType w:val="hybridMultilevel"/>
    <w:tmpl w:val="B37757F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1E2EF38"/>
    <w:multiLevelType w:val="hybridMultilevel"/>
    <w:tmpl w:val="ABE7533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2B67062"/>
    <w:multiLevelType w:val="hybridMultilevel"/>
    <w:tmpl w:val="D17E8C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C2143"/>
    <w:multiLevelType w:val="hybridMultilevel"/>
    <w:tmpl w:val="07C46B2A"/>
    <w:lvl w:ilvl="0" w:tplc="152A6FD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Helvetica Neu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64"/>
    <w:rsid w:val="002B1064"/>
    <w:rsid w:val="004C78E4"/>
    <w:rsid w:val="00D1098F"/>
    <w:rsid w:val="00D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3DA70-86B6-49AB-869C-31352A13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1064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2B1064"/>
    <w:pPr>
      <w:spacing w:line="36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2B1064"/>
    <w:pPr>
      <w:spacing w:line="22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2B1064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10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ansit.dot.gov/research-innovation/implementation-guidelines-drug-and-alcohol-regulations-public-transportatio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General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AC692A-3E79-47AB-8624-53F7C805F038}"/>
</file>

<file path=customXml/itemProps2.xml><?xml version="1.0" encoding="utf-8"?>
<ds:datastoreItem xmlns:ds="http://schemas.openxmlformats.org/officeDocument/2006/customXml" ds:itemID="{DBC15652-6766-4158-B66C-D80861E15927}"/>
</file>

<file path=customXml/itemProps3.xml><?xml version="1.0" encoding="utf-8"?>
<ds:datastoreItem xmlns:ds="http://schemas.openxmlformats.org/officeDocument/2006/customXml" ds:itemID="{49CF2BA4-27A7-45D8-8A44-325830F8F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Elliston, Carrie J (KYTC)</dc:creator>
  <cp:keywords/>
  <dc:description/>
  <cp:lastModifiedBy>Johnson, Kelley (KYTC)</cp:lastModifiedBy>
  <cp:revision>2</cp:revision>
  <dcterms:created xsi:type="dcterms:W3CDTF">2019-03-13T18:38:00Z</dcterms:created>
  <dcterms:modified xsi:type="dcterms:W3CDTF">2019-03-14T11:33:00Z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