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28DDC" w14:textId="26C58BC2" w:rsidR="005F4890" w:rsidRPr="00816D2E" w:rsidRDefault="001F7E02" w:rsidP="00816D2E">
      <w:pPr>
        <w:numPr>
          <w:ilvl w:val="0"/>
          <w:numId w:val="0"/>
        </w:numPr>
        <w:spacing w:after="0" w:line="240" w:lineRule="auto"/>
        <w:jc w:val="center"/>
        <w:rPr>
          <w:rFonts w:cstheme="minorHAnsi"/>
          <w:b/>
        </w:rPr>
      </w:pPr>
      <w:r w:rsidRPr="00816D2E">
        <w:rPr>
          <w:rFonts w:cstheme="minorHAnsi"/>
          <w:b/>
        </w:rPr>
        <w:t>Special Note for Cored Hol</w:t>
      </w:r>
      <w:r w:rsidR="0083386D" w:rsidRPr="00816D2E">
        <w:rPr>
          <w:rFonts w:cstheme="minorHAnsi"/>
          <w:b/>
        </w:rPr>
        <w:t>e</w:t>
      </w:r>
      <w:r w:rsidRPr="00816D2E">
        <w:rPr>
          <w:rFonts w:cstheme="minorHAnsi"/>
          <w:b/>
        </w:rPr>
        <w:t xml:space="preserve"> Drainage Box Connector</w:t>
      </w:r>
    </w:p>
    <w:p w14:paraId="105A5DA9" w14:textId="77777777" w:rsidR="005F4890" w:rsidRPr="00816D2E" w:rsidRDefault="005F4890" w:rsidP="00816D2E">
      <w:pPr>
        <w:widowControl w:val="0"/>
        <w:numPr>
          <w:ilvl w:val="0"/>
          <w:numId w:val="0"/>
        </w:numPr>
        <w:spacing w:after="0" w:line="240" w:lineRule="auto"/>
        <w:rPr>
          <w:rFonts w:eastAsia="Times New Roman" w:cstheme="minorHAnsi"/>
        </w:rPr>
      </w:pPr>
      <w:r w:rsidRPr="00816D2E">
        <w:rPr>
          <w:rFonts w:eastAsia="Times New Roman" w:cstheme="minorHAnsi"/>
          <w:noProof/>
        </w:rPr>
        <mc:AlternateContent>
          <mc:Choice Requires="wpg">
            <w:drawing>
              <wp:inline distT="0" distB="0" distL="0" distR="0" wp14:anchorId="49B6401E" wp14:editId="6FC69BF5">
                <wp:extent cx="5990590" cy="10795"/>
                <wp:effectExtent l="1905" t="8890" r="8255" b="889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0590" cy="10795"/>
                          <a:chOff x="0" y="0"/>
                          <a:chExt cx="9434" cy="17"/>
                        </a:xfrm>
                      </wpg:grpSpPr>
                      <wpg:grpSp>
                        <wpg:cNvPr id="3" name="Group 3"/>
                        <wpg:cNvGrpSpPr>
                          <a:grpSpLocks/>
                        </wpg:cNvGrpSpPr>
                        <wpg:grpSpPr bwMode="auto">
                          <a:xfrm>
                            <a:off x="8" y="8"/>
                            <a:ext cx="9418" cy="2"/>
                            <a:chOff x="8" y="8"/>
                            <a:chExt cx="9418" cy="2"/>
                          </a:xfrm>
                        </wpg:grpSpPr>
                        <wps:wsp>
                          <wps:cNvPr id="4" name="Freeform 4"/>
                          <wps:cNvSpPr>
                            <a:spLocks/>
                          </wps:cNvSpPr>
                          <wps:spPr bwMode="auto">
                            <a:xfrm>
                              <a:off x="8" y="8"/>
                              <a:ext cx="9418" cy="2"/>
                            </a:xfrm>
                            <a:custGeom>
                              <a:avLst/>
                              <a:gdLst>
                                <a:gd name="T0" fmla="+- 0 8 8"/>
                                <a:gd name="T1" fmla="*/ T0 w 9418"/>
                                <a:gd name="T2" fmla="+- 0 9426 8"/>
                                <a:gd name="T3" fmla="*/ T2 w 9418"/>
                              </a:gdLst>
                              <a:ahLst/>
                              <a:cxnLst>
                                <a:cxn ang="0">
                                  <a:pos x="T1" y="0"/>
                                </a:cxn>
                                <a:cxn ang="0">
                                  <a:pos x="T3" y="0"/>
                                </a:cxn>
                              </a:cxnLst>
                              <a:rect l="0" t="0" r="r" b="b"/>
                              <a:pathLst>
                                <a:path w="9418">
                                  <a:moveTo>
                                    <a:pt x="0" y="0"/>
                                  </a:moveTo>
                                  <a:lnTo>
                                    <a:pt x="9418"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4926EA1" id="Group 2" o:spid="_x0000_s1026" style="width:471.7pt;height:.85pt;mso-position-horizontal-relative:char;mso-position-vertical-relative:line" coordsize="943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">
                <v:group id="Group 3" o:spid="_x0000_s1027" style="position:absolute;left:8;top:8;width:9418;height:2" coordorigin="8,8"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8;top:8;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" path="m,l9418,e" filled="f" strokeweight=".82pt">
                    <v:path arrowok="t" o:connecttype="custom" o:connectlocs="0,0;9418,0" o:connectangles="0,0"/>
                  </v:shape>
                </v:group>
                <w10:anchorlock/>
              </v:group>
            </w:pict>
          </mc:Fallback>
        </mc:AlternateContent>
      </w:r>
    </w:p>
    <w:p w14:paraId="75C7C886" w14:textId="77777777" w:rsidR="005F4890" w:rsidRPr="00816D2E" w:rsidRDefault="005F4890" w:rsidP="00816D2E">
      <w:pPr>
        <w:widowControl w:val="0"/>
        <w:numPr>
          <w:ilvl w:val="0"/>
          <w:numId w:val="0"/>
        </w:numPr>
        <w:spacing w:after="0" w:line="240" w:lineRule="auto"/>
        <w:rPr>
          <w:rFonts w:eastAsia="Times New Roman" w:cstheme="minorHAnsi"/>
          <w:b/>
          <w:bCs/>
        </w:rPr>
      </w:pPr>
    </w:p>
    <w:p w14:paraId="0C64BC5C" w14:textId="77777777" w:rsidR="005F4890" w:rsidRPr="00816D2E" w:rsidRDefault="005F4890" w:rsidP="00816D2E">
      <w:pPr>
        <w:widowControl w:val="0"/>
        <w:numPr>
          <w:ilvl w:val="0"/>
          <w:numId w:val="0"/>
        </w:numPr>
        <w:spacing w:after="0" w:line="240" w:lineRule="auto"/>
        <w:rPr>
          <w:rFonts w:eastAsia="Times New Roman" w:cstheme="minorHAnsi"/>
          <w:b/>
          <w:bCs/>
        </w:rPr>
      </w:pPr>
    </w:p>
    <w:p w14:paraId="0F9ADCAF" w14:textId="77777777" w:rsidR="0083386D" w:rsidRPr="00816D2E" w:rsidRDefault="001F7E02" w:rsidP="00816D2E">
      <w:pPr>
        <w:numPr>
          <w:ilvl w:val="0"/>
          <w:numId w:val="1"/>
        </w:numPr>
        <w:spacing w:after="0" w:line="240" w:lineRule="auto"/>
        <w:jc w:val="both"/>
        <w:rPr>
          <w:rFonts w:cstheme="minorHAnsi"/>
        </w:rPr>
      </w:pPr>
      <w:r w:rsidRPr="00816D2E">
        <w:rPr>
          <w:rFonts w:cstheme="minorHAnsi"/>
          <w:b/>
        </w:rPr>
        <w:t>DESCRIPTION</w:t>
      </w:r>
      <w:r w:rsidR="0083386D" w:rsidRPr="00816D2E">
        <w:rPr>
          <w:rFonts w:cstheme="minorHAnsi"/>
        </w:rPr>
        <w:t>.</w:t>
      </w:r>
    </w:p>
    <w:p w14:paraId="4310CF16" w14:textId="77777777" w:rsidR="0083386D" w:rsidRPr="00816D2E" w:rsidRDefault="0083386D" w:rsidP="00816D2E">
      <w:pPr>
        <w:numPr>
          <w:ilvl w:val="0"/>
          <w:numId w:val="0"/>
        </w:numPr>
        <w:spacing w:after="0" w:line="240" w:lineRule="auto"/>
        <w:ind w:left="360"/>
        <w:jc w:val="both"/>
        <w:rPr>
          <w:rFonts w:cstheme="minorHAnsi"/>
        </w:rPr>
      </w:pPr>
      <w:r w:rsidRPr="00816D2E">
        <w:rPr>
          <w:rFonts w:cstheme="minorHAnsi"/>
        </w:rPr>
        <w:t>Except as provided herein, perform all work in accordance with the Department's Standard Specifications, interim Supplemental Specifications, Standard and Sepia Drawings, and Special Notes and Special Provisions, current editions. Section references are to the Standard Specifications. This project shall consist of furnishing all labor, equipment, materials, and incidentals for the following:</w:t>
      </w:r>
    </w:p>
    <w:p w14:paraId="76E54A98" w14:textId="77777777" w:rsidR="0083386D" w:rsidRPr="00816D2E" w:rsidRDefault="0083386D" w:rsidP="00816D2E">
      <w:pPr>
        <w:numPr>
          <w:ilvl w:val="0"/>
          <w:numId w:val="0"/>
        </w:numPr>
        <w:spacing w:after="0" w:line="240" w:lineRule="auto"/>
        <w:ind w:left="360"/>
        <w:jc w:val="both"/>
        <w:rPr>
          <w:rFonts w:cstheme="minorHAnsi"/>
        </w:rPr>
      </w:pPr>
    </w:p>
    <w:p w14:paraId="556B8D9F" w14:textId="77777777" w:rsidR="0083386D" w:rsidRPr="00816D2E" w:rsidRDefault="0083386D" w:rsidP="00816D2E">
      <w:pPr>
        <w:numPr>
          <w:ilvl w:val="0"/>
          <w:numId w:val="0"/>
        </w:numPr>
        <w:spacing w:after="0" w:line="240" w:lineRule="auto"/>
        <w:ind w:left="630" w:right="270"/>
        <w:jc w:val="both"/>
        <w:rPr>
          <w:rFonts w:cstheme="minorHAnsi"/>
        </w:rPr>
      </w:pPr>
      <w:r w:rsidRPr="00816D2E">
        <w:rPr>
          <w:rFonts w:cstheme="minorHAnsi"/>
        </w:rPr>
        <w:t>(1) Contractor staking; (2) Site preparation; (3) Core drill a hole in the side of an existing small drainage structure to connect the outlet end of a proposed pipe, instead of constructing an outlet headwall; (4) Maintain and Control Traffic; and (5) all other work specified as part of this contract.</w:t>
      </w:r>
    </w:p>
    <w:p w14:paraId="1A24F5E4" w14:textId="01BB6E9B" w:rsidR="0083386D" w:rsidRDefault="0083386D" w:rsidP="00816D2E">
      <w:pPr>
        <w:numPr>
          <w:ilvl w:val="0"/>
          <w:numId w:val="0"/>
        </w:numPr>
        <w:spacing w:after="0" w:line="240" w:lineRule="auto"/>
        <w:ind w:left="360"/>
        <w:jc w:val="both"/>
        <w:rPr>
          <w:rFonts w:cstheme="minorHAnsi"/>
        </w:rPr>
      </w:pPr>
    </w:p>
    <w:p w14:paraId="0E8EDA1F" w14:textId="77777777" w:rsidR="00816D2E" w:rsidRPr="00816D2E" w:rsidRDefault="00816D2E" w:rsidP="00816D2E">
      <w:pPr>
        <w:numPr>
          <w:ilvl w:val="0"/>
          <w:numId w:val="0"/>
        </w:numPr>
        <w:spacing w:after="0" w:line="240" w:lineRule="auto"/>
        <w:ind w:left="360"/>
        <w:jc w:val="both"/>
        <w:rPr>
          <w:rFonts w:cstheme="minorHAnsi"/>
        </w:rPr>
      </w:pPr>
    </w:p>
    <w:p w14:paraId="16F9D93D" w14:textId="77777777" w:rsidR="001F7E02" w:rsidRPr="00816D2E" w:rsidRDefault="001F7E02" w:rsidP="00816D2E">
      <w:pPr>
        <w:numPr>
          <w:ilvl w:val="0"/>
          <w:numId w:val="1"/>
        </w:numPr>
        <w:spacing w:after="0" w:line="240" w:lineRule="auto"/>
        <w:jc w:val="both"/>
        <w:rPr>
          <w:rFonts w:cstheme="minorHAnsi"/>
        </w:rPr>
      </w:pPr>
      <w:r w:rsidRPr="00816D2E">
        <w:rPr>
          <w:rFonts w:cstheme="minorHAnsi"/>
          <w:b/>
        </w:rPr>
        <w:t>MATERIALS</w:t>
      </w:r>
      <w:r w:rsidRPr="00816D2E">
        <w:rPr>
          <w:rFonts w:cstheme="minorHAnsi"/>
        </w:rPr>
        <w:t>.</w:t>
      </w:r>
    </w:p>
    <w:p w14:paraId="0A0FAF7D" w14:textId="77777777" w:rsidR="0083386D" w:rsidRPr="00816D2E" w:rsidRDefault="0083386D" w:rsidP="00816D2E">
      <w:pPr>
        <w:numPr>
          <w:ilvl w:val="0"/>
          <w:numId w:val="0"/>
        </w:numPr>
        <w:spacing w:after="0" w:line="240" w:lineRule="auto"/>
        <w:ind w:left="360"/>
        <w:jc w:val="both"/>
        <w:rPr>
          <w:rFonts w:cstheme="minorHAnsi"/>
        </w:rPr>
      </w:pPr>
      <w:r w:rsidRPr="00816D2E">
        <w:rPr>
          <w:rFonts w:cstheme="minorHAnsi"/>
        </w:rPr>
        <w:t>Provide for sampling and testing of all materials in accordance with the Department's Sampling Manual. Make materials available for sampling a sufficient time in advance of the use of the materials to allow for the necessary time for testing unless otherwise specified in these notes.</w:t>
      </w:r>
    </w:p>
    <w:p w14:paraId="16CBF5FA" w14:textId="77777777" w:rsidR="0083386D" w:rsidRPr="00816D2E" w:rsidRDefault="0083386D" w:rsidP="00816D2E">
      <w:pPr>
        <w:numPr>
          <w:ilvl w:val="0"/>
          <w:numId w:val="0"/>
        </w:numPr>
        <w:spacing w:after="0" w:line="240" w:lineRule="auto"/>
        <w:ind w:left="360"/>
        <w:jc w:val="both"/>
        <w:rPr>
          <w:rFonts w:cstheme="minorHAnsi"/>
        </w:rPr>
      </w:pPr>
    </w:p>
    <w:p w14:paraId="29A827B4" w14:textId="77777777" w:rsidR="0083386D" w:rsidRPr="00816D2E" w:rsidRDefault="0083386D" w:rsidP="00816D2E">
      <w:pPr>
        <w:numPr>
          <w:ilvl w:val="1"/>
          <w:numId w:val="1"/>
        </w:numPr>
        <w:spacing w:after="0" w:line="240" w:lineRule="auto"/>
        <w:jc w:val="both"/>
        <w:rPr>
          <w:rFonts w:cstheme="minorHAnsi"/>
        </w:rPr>
      </w:pPr>
      <w:r w:rsidRPr="00816D2E">
        <w:rPr>
          <w:rFonts w:cstheme="minorHAnsi"/>
          <w:b/>
        </w:rPr>
        <w:t>Maintain and Control Traffic</w:t>
      </w:r>
      <w:r w:rsidRPr="00816D2E">
        <w:rPr>
          <w:rFonts w:cstheme="minorHAnsi"/>
        </w:rPr>
        <w:t>.  See the Traffic Control Plan.</w:t>
      </w:r>
    </w:p>
    <w:p w14:paraId="3307DA7D" w14:textId="77777777" w:rsidR="0083386D" w:rsidRPr="00816D2E" w:rsidRDefault="0083386D" w:rsidP="00816D2E">
      <w:pPr>
        <w:numPr>
          <w:ilvl w:val="0"/>
          <w:numId w:val="0"/>
        </w:numPr>
        <w:spacing w:after="0" w:line="240" w:lineRule="auto"/>
        <w:ind w:left="720"/>
        <w:jc w:val="both"/>
        <w:rPr>
          <w:rFonts w:cstheme="minorHAnsi"/>
        </w:rPr>
      </w:pPr>
    </w:p>
    <w:p w14:paraId="4F55CCCB" w14:textId="77777777" w:rsidR="0083386D" w:rsidRPr="00816D2E" w:rsidRDefault="0083386D" w:rsidP="00816D2E">
      <w:pPr>
        <w:numPr>
          <w:ilvl w:val="1"/>
          <w:numId w:val="1"/>
        </w:numPr>
        <w:spacing w:after="0" w:line="240" w:lineRule="auto"/>
        <w:jc w:val="both"/>
        <w:rPr>
          <w:rFonts w:cstheme="minorHAnsi"/>
        </w:rPr>
      </w:pPr>
      <w:r w:rsidRPr="00816D2E">
        <w:rPr>
          <w:rFonts w:cstheme="minorHAnsi"/>
          <w:b/>
        </w:rPr>
        <w:t>Erosion Control</w:t>
      </w:r>
      <w:r w:rsidRPr="00816D2E">
        <w:rPr>
          <w:rFonts w:cstheme="minorHAnsi"/>
        </w:rPr>
        <w:t>.  See the Special Note for Erosion Control.</w:t>
      </w:r>
    </w:p>
    <w:p w14:paraId="299E6A5A" w14:textId="77777777" w:rsidR="0083386D" w:rsidRPr="00816D2E" w:rsidRDefault="0083386D" w:rsidP="00816D2E">
      <w:pPr>
        <w:numPr>
          <w:ilvl w:val="0"/>
          <w:numId w:val="0"/>
        </w:numPr>
        <w:spacing w:after="0" w:line="240" w:lineRule="auto"/>
        <w:ind w:left="720"/>
        <w:jc w:val="both"/>
        <w:rPr>
          <w:rFonts w:cstheme="minorHAnsi"/>
        </w:rPr>
      </w:pPr>
    </w:p>
    <w:p w14:paraId="3D62DA09" w14:textId="77777777" w:rsidR="001F7E02" w:rsidRPr="00816D2E" w:rsidRDefault="001F7E02" w:rsidP="00816D2E">
      <w:pPr>
        <w:numPr>
          <w:ilvl w:val="1"/>
          <w:numId w:val="1"/>
        </w:numPr>
        <w:spacing w:after="0" w:line="240" w:lineRule="auto"/>
        <w:jc w:val="both"/>
        <w:rPr>
          <w:rFonts w:cstheme="minorHAnsi"/>
        </w:rPr>
      </w:pPr>
      <w:r w:rsidRPr="00816D2E">
        <w:rPr>
          <w:rFonts w:cstheme="minorHAnsi"/>
          <w:b/>
        </w:rPr>
        <w:t>Non-Shrink Grout</w:t>
      </w:r>
      <w:r w:rsidRPr="00816D2E">
        <w:rPr>
          <w:rFonts w:cstheme="minorHAnsi"/>
        </w:rPr>
        <w:t xml:space="preserve">. </w:t>
      </w:r>
      <w:r w:rsidR="005F4890" w:rsidRPr="00816D2E">
        <w:rPr>
          <w:rFonts w:cstheme="minorHAnsi"/>
        </w:rPr>
        <w:t xml:space="preserve"> </w:t>
      </w:r>
      <w:r w:rsidRPr="00816D2E">
        <w:rPr>
          <w:rFonts w:cstheme="minorHAnsi"/>
        </w:rPr>
        <w:t xml:space="preserve">Conform to Subsection 601.03.03 </w:t>
      </w:r>
      <w:r w:rsidR="005F4890" w:rsidRPr="00816D2E">
        <w:rPr>
          <w:rFonts w:cstheme="minorHAnsi"/>
        </w:rPr>
        <w:t>(</w:t>
      </w:r>
      <w:r w:rsidRPr="00816D2E">
        <w:rPr>
          <w:rFonts w:cstheme="minorHAnsi"/>
        </w:rPr>
        <w:t>B).</w:t>
      </w:r>
    </w:p>
    <w:p w14:paraId="14534EDC" w14:textId="77777777" w:rsidR="0083386D" w:rsidRPr="00816D2E" w:rsidRDefault="0083386D" w:rsidP="00816D2E">
      <w:pPr>
        <w:numPr>
          <w:ilvl w:val="0"/>
          <w:numId w:val="0"/>
        </w:numPr>
        <w:spacing w:after="0" w:line="240" w:lineRule="auto"/>
        <w:ind w:left="720"/>
        <w:jc w:val="both"/>
        <w:rPr>
          <w:rFonts w:cstheme="minorHAnsi"/>
        </w:rPr>
      </w:pPr>
    </w:p>
    <w:p w14:paraId="5B04FB41" w14:textId="77777777" w:rsidR="001F7E02" w:rsidRPr="00816D2E" w:rsidRDefault="001F7E02" w:rsidP="00816D2E">
      <w:pPr>
        <w:numPr>
          <w:ilvl w:val="1"/>
          <w:numId w:val="1"/>
        </w:numPr>
        <w:spacing w:after="0" w:line="240" w:lineRule="auto"/>
        <w:jc w:val="both"/>
        <w:rPr>
          <w:rFonts w:eastAsia="CIDFont+F1" w:cstheme="minorHAnsi"/>
        </w:rPr>
      </w:pPr>
      <w:r w:rsidRPr="00816D2E">
        <w:rPr>
          <w:rFonts w:cstheme="minorHAnsi"/>
          <w:b/>
        </w:rPr>
        <w:t>Asphalt Mastic Joint Sealing Compound</w:t>
      </w:r>
      <w:r w:rsidRPr="00816D2E">
        <w:rPr>
          <w:rFonts w:cstheme="minorHAnsi"/>
        </w:rPr>
        <w:t xml:space="preserve">. </w:t>
      </w:r>
      <w:r w:rsidR="005F4890" w:rsidRPr="00816D2E">
        <w:rPr>
          <w:rFonts w:cstheme="minorHAnsi"/>
        </w:rPr>
        <w:t xml:space="preserve"> </w:t>
      </w:r>
      <w:r w:rsidRPr="00816D2E">
        <w:rPr>
          <w:rFonts w:eastAsia="CIDFont+F1" w:cstheme="minorHAnsi"/>
        </w:rPr>
        <w:t>Conform to Section 807.</w:t>
      </w:r>
    </w:p>
    <w:p w14:paraId="6927C254" w14:textId="77777777" w:rsidR="0083386D" w:rsidRPr="00816D2E" w:rsidRDefault="0083386D" w:rsidP="00816D2E">
      <w:pPr>
        <w:numPr>
          <w:ilvl w:val="0"/>
          <w:numId w:val="0"/>
        </w:numPr>
        <w:spacing w:after="0" w:line="240" w:lineRule="auto"/>
        <w:ind w:left="720"/>
        <w:jc w:val="both"/>
        <w:rPr>
          <w:rFonts w:eastAsia="CIDFont+F1" w:cstheme="minorHAnsi"/>
        </w:rPr>
      </w:pPr>
    </w:p>
    <w:p w14:paraId="355708ED" w14:textId="77777777" w:rsidR="001F7E02" w:rsidRPr="00816D2E" w:rsidRDefault="001F7E02" w:rsidP="00816D2E">
      <w:pPr>
        <w:numPr>
          <w:ilvl w:val="1"/>
          <w:numId w:val="1"/>
        </w:numPr>
        <w:spacing w:after="0" w:line="240" w:lineRule="auto"/>
        <w:jc w:val="both"/>
        <w:rPr>
          <w:rFonts w:cstheme="minorHAnsi"/>
        </w:rPr>
      </w:pPr>
      <w:r w:rsidRPr="00816D2E">
        <w:rPr>
          <w:rFonts w:cstheme="minorHAnsi"/>
          <w:b/>
        </w:rPr>
        <w:t>Pipe</w:t>
      </w:r>
      <w:r w:rsidRPr="00816D2E">
        <w:rPr>
          <w:rFonts w:cstheme="minorHAnsi"/>
        </w:rPr>
        <w:t xml:space="preserve">. </w:t>
      </w:r>
      <w:r w:rsidR="005F4890" w:rsidRPr="00816D2E">
        <w:rPr>
          <w:rFonts w:cstheme="minorHAnsi"/>
        </w:rPr>
        <w:t xml:space="preserve"> </w:t>
      </w:r>
      <w:r w:rsidRPr="00816D2E">
        <w:rPr>
          <w:rFonts w:cstheme="minorHAnsi"/>
        </w:rPr>
        <w:t>Conform to Subsection 704.02. Furnish the same type and size as the underdrain pipe.</w:t>
      </w:r>
    </w:p>
    <w:p w14:paraId="66FE41F7" w14:textId="77777777" w:rsidR="009C73AD" w:rsidRPr="00816D2E" w:rsidRDefault="009C73AD" w:rsidP="00816D2E">
      <w:pPr>
        <w:widowControl w:val="0"/>
        <w:numPr>
          <w:ilvl w:val="0"/>
          <w:numId w:val="0"/>
        </w:numPr>
        <w:tabs>
          <w:tab w:val="left" w:pos="1168"/>
        </w:tabs>
        <w:spacing w:after="0" w:line="240" w:lineRule="auto"/>
        <w:ind w:left="720" w:right="139"/>
        <w:jc w:val="both"/>
        <w:rPr>
          <w:rFonts w:cstheme="minorHAnsi"/>
        </w:rPr>
      </w:pPr>
      <w:r w:rsidRPr="00816D2E">
        <w:rPr>
          <w:rFonts w:cstheme="minorHAnsi"/>
          <w:b/>
        </w:rPr>
        <w:t>Culvert Pipe</w:t>
      </w:r>
      <w:r w:rsidRPr="00816D2E">
        <w:rPr>
          <w:rFonts w:cstheme="minorHAnsi"/>
        </w:rPr>
        <w:t>. Furnish the same type and size as the existing culvert pipe being connected to the existing small drainage structure. Furnish pipe meeting the requirements of Section 810.  Select pipe for pH range Medium and minimum fill cover height according to the applicable Standard or Sepia Drawings, current editions. Verify maximum and minimum fill cover height required for new pipe prior to construction and obtain the Engineer’s approval of the class or gauge of pipe and type of coating prior to delivering pipe to project.  Furnish approved connecting bands or pipe anchors and toe walls.</w:t>
      </w:r>
    </w:p>
    <w:p w14:paraId="433580B7" w14:textId="77777777" w:rsidR="009C73AD" w:rsidRPr="00816D2E" w:rsidRDefault="009C73AD" w:rsidP="00816D2E">
      <w:pPr>
        <w:widowControl w:val="0"/>
        <w:numPr>
          <w:ilvl w:val="0"/>
          <w:numId w:val="0"/>
        </w:numPr>
        <w:tabs>
          <w:tab w:val="left" w:pos="1168"/>
        </w:tabs>
        <w:spacing w:after="0" w:line="240" w:lineRule="auto"/>
        <w:ind w:left="720" w:right="139"/>
        <w:jc w:val="both"/>
        <w:rPr>
          <w:rFonts w:cstheme="minorHAnsi"/>
        </w:rPr>
      </w:pPr>
    </w:p>
    <w:p w14:paraId="7697BA1A" w14:textId="77777777" w:rsidR="009C73AD" w:rsidRPr="00816D2E" w:rsidRDefault="009C73AD" w:rsidP="00816D2E">
      <w:pPr>
        <w:pStyle w:val="ListParagraph"/>
        <w:widowControl w:val="0"/>
        <w:numPr>
          <w:ilvl w:val="1"/>
          <w:numId w:val="1"/>
        </w:numPr>
        <w:tabs>
          <w:tab w:val="left" w:pos="-720"/>
        </w:tabs>
        <w:suppressAutoHyphens/>
        <w:spacing w:after="0" w:line="240" w:lineRule="auto"/>
        <w:contextualSpacing w:val="0"/>
        <w:jc w:val="both"/>
        <w:rPr>
          <w:rFonts w:cstheme="minorHAnsi"/>
          <w:spacing w:val="-3"/>
        </w:rPr>
      </w:pPr>
      <w:r w:rsidRPr="00816D2E">
        <w:rPr>
          <w:rFonts w:cstheme="minorHAnsi"/>
          <w:b/>
          <w:spacing w:val="-3"/>
        </w:rPr>
        <w:t>Flowable Fill.</w:t>
      </w:r>
      <w:r w:rsidRPr="00816D2E">
        <w:rPr>
          <w:rFonts w:cstheme="minorHAnsi"/>
          <w:spacing w:val="-3"/>
        </w:rPr>
        <w:t xml:space="preserve">  Furnish Flowable Fill for Pipe Backfill per Section 601.03.03(B).</w:t>
      </w:r>
    </w:p>
    <w:p w14:paraId="35CB7E8B" w14:textId="77777777" w:rsidR="0083386D" w:rsidRPr="00816D2E" w:rsidRDefault="0083386D" w:rsidP="00816D2E">
      <w:pPr>
        <w:numPr>
          <w:ilvl w:val="0"/>
          <w:numId w:val="0"/>
        </w:numPr>
        <w:spacing w:after="0" w:line="240" w:lineRule="auto"/>
        <w:ind w:left="720"/>
        <w:jc w:val="both"/>
        <w:rPr>
          <w:rFonts w:cstheme="minorHAnsi"/>
        </w:rPr>
      </w:pPr>
    </w:p>
    <w:p w14:paraId="5AC26127" w14:textId="77777777" w:rsidR="001F7E02" w:rsidRPr="00816D2E" w:rsidRDefault="001F7E02" w:rsidP="00816D2E">
      <w:pPr>
        <w:numPr>
          <w:ilvl w:val="1"/>
          <w:numId w:val="1"/>
        </w:numPr>
        <w:spacing w:after="0" w:line="240" w:lineRule="auto"/>
        <w:jc w:val="both"/>
        <w:rPr>
          <w:rFonts w:cstheme="minorHAnsi"/>
        </w:rPr>
      </w:pPr>
      <w:r w:rsidRPr="00816D2E">
        <w:rPr>
          <w:rFonts w:cstheme="minorHAnsi"/>
          <w:b/>
        </w:rPr>
        <w:t>Styrofoam Backer Rod</w:t>
      </w:r>
      <w:r w:rsidRPr="00816D2E">
        <w:rPr>
          <w:rFonts w:cstheme="minorHAnsi"/>
        </w:rPr>
        <w:t xml:space="preserve">. </w:t>
      </w:r>
      <w:r w:rsidR="005F4890" w:rsidRPr="00816D2E">
        <w:rPr>
          <w:rFonts w:cstheme="minorHAnsi"/>
        </w:rPr>
        <w:t xml:space="preserve"> </w:t>
      </w:r>
      <w:r w:rsidRPr="00816D2E">
        <w:rPr>
          <w:rFonts w:cstheme="minorHAnsi"/>
        </w:rPr>
        <w:t>Obtain the Engineer’s approval.</w:t>
      </w:r>
    </w:p>
    <w:p w14:paraId="6E15FA05" w14:textId="19529861" w:rsidR="001F7E02" w:rsidRDefault="001F7E02" w:rsidP="00816D2E">
      <w:pPr>
        <w:numPr>
          <w:ilvl w:val="0"/>
          <w:numId w:val="0"/>
        </w:numPr>
        <w:spacing w:after="0" w:line="240" w:lineRule="auto"/>
        <w:ind w:left="720"/>
        <w:jc w:val="both"/>
        <w:rPr>
          <w:rFonts w:cstheme="minorHAnsi"/>
        </w:rPr>
      </w:pPr>
    </w:p>
    <w:p w14:paraId="10AC85CD" w14:textId="77777777" w:rsidR="00816D2E" w:rsidRPr="00816D2E" w:rsidRDefault="00816D2E" w:rsidP="00816D2E">
      <w:pPr>
        <w:numPr>
          <w:ilvl w:val="0"/>
          <w:numId w:val="0"/>
        </w:numPr>
        <w:spacing w:after="0" w:line="240" w:lineRule="auto"/>
        <w:ind w:left="720"/>
        <w:jc w:val="both"/>
        <w:rPr>
          <w:rFonts w:cstheme="minorHAnsi"/>
        </w:rPr>
      </w:pPr>
    </w:p>
    <w:p w14:paraId="5C257E63" w14:textId="77777777" w:rsidR="0083386D" w:rsidRPr="00816D2E" w:rsidRDefault="001F7E02" w:rsidP="00816D2E">
      <w:pPr>
        <w:numPr>
          <w:ilvl w:val="0"/>
          <w:numId w:val="1"/>
        </w:numPr>
        <w:spacing w:after="0" w:line="240" w:lineRule="auto"/>
        <w:jc w:val="both"/>
        <w:rPr>
          <w:rFonts w:cstheme="minorHAnsi"/>
        </w:rPr>
      </w:pPr>
      <w:r w:rsidRPr="00816D2E">
        <w:rPr>
          <w:rFonts w:cstheme="minorHAnsi"/>
          <w:b/>
        </w:rPr>
        <w:t>CONSTRUCTION</w:t>
      </w:r>
      <w:r w:rsidR="0083386D" w:rsidRPr="00816D2E">
        <w:rPr>
          <w:rFonts w:cstheme="minorHAnsi"/>
        </w:rPr>
        <w:t>.</w:t>
      </w:r>
    </w:p>
    <w:p w14:paraId="256E7D73" w14:textId="77777777" w:rsidR="00B23880" w:rsidRPr="00816D2E" w:rsidRDefault="00B23880" w:rsidP="00816D2E">
      <w:pPr>
        <w:numPr>
          <w:ilvl w:val="0"/>
          <w:numId w:val="0"/>
        </w:numPr>
        <w:spacing w:after="0" w:line="240" w:lineRule="auto"/>
        <w:ind w:left="360"/>
        <w:jc w:val="both"/>
        <w:rPr>
          <w:rFonts w:cstheme="minorHAnsi"/>
        </w:rPr>
      </w:pPr>
    </w:p>
    <w:p w14:paraId="1ACF6452" w14:textId="77777777" w:rsidR="0083386D" w:rsidRPr="00816D2E" w:rsidRDefault="0083386D" w:rsidP="00816D2E">
      <w:pPr>
        <w:numPr>
          <w:ilvl w:val="1"/>
          <w:numId w:val="1"/>
        </w:numPr>
        <w:spacing w:after="0" w:line="240" w:lineRule="auto"/>
        <w:jc w:val="both"/>
        <w:rPr>
          <w:rFonts w:cstheme="minorHAnsi"/>
        </w:rPr>
      </w:pPr>
      <w:r w:rsidRPr="00816D2E">
        <w:rPr>
          <w:rFonts w:cstheme="minorHAnsi"/>
          <w:b/>
        </w:rPr>
        <w:t>Maintain and Control Traffic</w:t>
      </w:r>
      <w:r w:rsidRPr="00816D2E">
        <w:rPr>
          <w:rFonts w:cstheme="minorHAnsi"/>
        </w:rPr>
        <w:t>.  See the Traffic Control Plan.</w:t>
      </w:r>
    </w:p>
    <w:p w14:paraId="21485277" w14:textId="77777777" w:rsidR="00B23880" w:rsidRPr="00816D2E" w:rsidRDefault="00B23880" w:rsidP="00816D2E">
      <w:pPr>
        <w:numPr>
          <w:ilvl w:val="0"/>
          <w:numId w:val="0"/>
        </w:numPr>
        <w:spacing w:after="0" w:line="240" w:lineRule="auto"/>
        <w:ind w:left="720"/>
        <w:jc w:val="both"/>
        <w:rPr>
          <w:rFonts w:cstheme="minorHAnsi"/>
        </w:rPr>
      </w:pPr>
    </w:p>
    <w:p w14:paraId="6E906D4E" w14:textId="77777777" w:rsidR="0083386D" w:rsidRPr="00816D2E" w:rsidRDefault="0083386D" w:rsidP="00816D2E">
      <w:pPr>
        <w:numPr>
          <w:ilvl w:val="1"/>
          <w:numId w:val="1"/>
        </w:numPr>
        <w:spacing w:after="0" w:line="240" w:lineRule="auto"/>
        <w:jc w:val="both"/>
        <w:rPr>
          <w:rFonts w:cstheme="minorHAnsi"/>
        </w:rPr>
      </w:pPr>
      <w:r w:rsidRPr="00816D2E">
        <w:rPr>
          <w:rFonts w:cstheme="minorHAnsi"/>
          <w:b/>
        </w:rPr>
        <w:t>Erosion Control</w:t>
      </w:r>
      <w:r w:rsidRPr="00816D2E">
        <w:rPr>
          <w:rFonts w:cstheme="minorHAnsi"/>
        </w:rPr>
        <w:t>.  See the Special Note for Erosion Control.</w:t>
      </w:r>
    </w:p>
    <w:p w14:paraId="35BE2D84" w14:textId="77777777" w:rsidR="00B23880" w:rsidRPr="00816D2E" w:rsidRDefault="00B23880" w:rsidP="00816D2E">
      <w:pPr>
        <w:numPr>
          <w:ilvl w:val="0"/>
          <w:numId w:val="0"/>
        </w:numPr>
        <w:spacing w:after="0" w:line="240" w:lineRule="auto"/>
        <w:ind w:left="720"/>
        <w:jc w:val="both"/>
        <w:rPr>
          <w:rFonts w:cstheme="minorHAnsi"/>
        </w:rPr>
      </w:pPr>
    </w:p>
    <w:p w14:paraId="5BE4F53F" w14:textId="7A572E3C" w:rsidR="0083386D" w:rsidRPr="00816D2E" w:rsidRDefault="0083386D" w:rsidP="00816D2E">
      <w:pPr>
        <w:numPr>
          <w:ilvl w:val="1"/>
          <w:numId w:val="1"/>
        </w:numPr>
        <w:spacing w:after="0" w:line="240" w:lineRule="auto"/>
        <w:jc w:val="both"/>
        <w:rPr>
          <w:rFonts w:cstheme="minorHAnsi"/>
        </w:rPr>
      </w:pPr>
      <w:r w:rsidRPr="00816D2E">
        <w:rPr>
          <w:rFonts w:cstheme="minorHAnsi"/>
          <w:b/>
        </w:rPr>
        <w:t>Site Preparation</w:t>
      </w:r>
      <w:r w:rsidRPr="00816D2E">
        <w:rPr>
          <w:rFonts w:cstheme="minorHAnsi"/>
        </w:rPr>
        <w:t>.  Be responsible for all Site Preparation, including but not limited to removing pavement; roadway excavation and structure excavation; removal of obstructions or any other items; embankment and embankment in place; ditching</w:t>
      </w:r>
      <w:r w:rsidR="00581B05">
        <w:rPr>
          <w:rFonts w:cstheme="minorHAnsi"/>
        </w:rPr>
        <w:t xml:space="preserve">, </w:t>
      </w:r>
      <w:r w:rsidRPr="00816D2E">
        <w:rPr>
          <w:rFonts w:cstheme="minorHAnsi"/>
        </w:rPr>
        <w:t xml:space="preserve">shouldering, </w:t>
      </w:r>
      <w:r w:rsidR="00581B05">
        <w:rPr>
          <w:rFonts w:cstheme="minorHAnsi"/>
        </w:rPr>
        <w:t>roadside re</w:t>
      </w:r>
      <w:r w:rsidRPr="00816D2E">
        <w:rPr>
          <w:rFonts w:cstheme="minorHAnsi"/>
        </w:rPr>
        <w:t>grading, reshaping, and compacting backfill material; cleaning drainage structures; obtaining borrow and waste sites; disposal of materials, waste, and debris; and restoration, cleanup, and final dressing</w:t>
      </w:r>
    </w:p>
    <w:p w14:paraId="79A158FC" w14:textId="77777777" w:rsidR="00B23880" w:rsidRPr="00816D2E" w:rsidRDefault="00B23880" w:rsidP="00816D2E">
      <w:pPr>
        <w:numPr>
          <w:ilvl w:val="0"/>
          <w:numId w:val="0"/>
        </w:numPr>
        <w:spacing w:after="0" w:line="240" w:lineRule="auto"/>
        <w:ind w:left="720"/>
        <w:jc w:val="both"/>
        <w:rPr>
          <w:rFonts w:cstheme="minorHAnsi"/>
        </w:rPr>
      </w:pPr>
    </w:p>
    <w:p w14:paraId="3DDFB95A" w14:textId="10CF85F5" w:rsidR="001F7E02" w:rsidRPr="00816D2E" w:rsidRDefault="0083386D" w:rsidP="00816D2E">
      <w:pPr>
        <w:numPr>
          <w:ilvl w:val="1"/>
          <w:numId w:val="1"/>
        </w:numPr>
        <w:spacing w:after="0" w:line="240" w:lineRule="auto"/>
        <w:jc w:val="both"/>
        <w:rPr>
          <w:rFonts w:cstheme="minorHAnsi"/>
        </w:rPr>
      </w:pPr>
      <w:r w:rsidRPr="00816D2E">
        <w:rPr>
          <w:rFonts w:cstheme="minorHAnsi"/>
          <w:b/>
        </w:rPr>
        <w:t>Core Hole Drainage Box</w:t>
      </w:r>
      <w:r w:rsidRPr="00816D2E">
        <w:rPr>
          <w:rFonts w:cstheme="minorHAnsi"/>
        </w:rPr>
        <w:t>.  Cut hole</w:t>
      </w:r>
      <w:r w:rsidR="001F7E02" w:rsidRPr="00816D2E">
        <w:rPr>
          <w:rFonts w:cstheme="minorHAnsi"/>
        </w:rPr>
        <w:t xml:space="preserve"> by core drilling into existing drainage </w:t>
      </w:r>
      <w:r w:rsidRPr="00816D2E">
        <w:rPr>
          <w:rFonts w:cstheme="minorHAnsi"/>
        </w:rPr>
        <w:t>structure</w:t>
      </w:r>
      <w:r w:rsidR="001F7E02" w:rsidRPr="00816D2E">
        <w:rPr>
          <w:rFonts w:cstheme="minorHAnsi"/>
        </w:rPr>
        <w:t xml:space="preserve"> at the location</w:t>
      </w:r>
      <w:r w:rsidRPr="00816D2E">
        <w:rPr>
          <w:rFonts w:cstheme="minorHAnsi"/>
        </w:rPr>
        <w:t>, or locations,</w:t>
      </w:r>
      <w:r w:rsidR="001F7E02" w:rsidRPr="00816D2E">
        <w:rPr>
          <w:rFonts w:cstheme="minorHAnsi"/>
        </w:rPr>
        <w:t xml:space="preserve"> specified in the Contract or where the Engineer directs, without damaging the existing structure. Cut holes of a diameter equal to the outside diameter of the </w:t>
      </w:r>
      <w:r w:rsidR="009516C0" w:rsidRPr="00816D2E">
        <w:rPr>
          <w:rFonts w:cstheme="minorHAnsi"/>
        </w:rPr>
        <w:t xml:space="preserve">proposed </w:t>
      </w:r>
      <w:r w:rsidR="001F7E02" w:rsidRPr="00816D2E">
        <w:rPr>
          <w:rFonts w:cstheme="minorHAnsi"/>
        </w:rPr>
        <w:t xml:space="preserve">pipe with a tolerance of plus 1/2 inch. Place 2 </w:t>
      </w:r>
      <w:proofErr w:type="spellStart"/>
      <w:r w:rsidR="001F7E02" w:rsidRPr="00816D2E">
        <w:rPr>
          <w:rFonts w:cstheme="minorHAnsi"/>
        </w:rPr>
        <w:t>styrofoam</w:t>
      </w:r>
      <w:proofErr w:type="spellEnd"/>
      <w:r w:rsidR="001F7E02" w:rsidRPr="00816D2E">
        <w:rPr>
          <w:rFonts w:cstheme="minorHAnsi"/>
        </w:rPr>
        <w:t xml:space="preserve"> backer rods on the pipe near each wall face and seal the opening around the pipe with mastic material or a non-shrink grout. Use wyes, tees, and ells in the pipe system to reduce the number of holes to be drilled.  Patch all damage to the existing wall in the coring operation with non-shrink grout. Apply non-shrink grout according to Subsection 601.03.</w:t>
      </w:r>
    </w:p>
    <w:p w14:paraId="4AD68AA3" w14:textId="74903BE2" w:rsidR="001F7E02" w:rsidRDefault="001F7E02" w:rsidP="00816D2E">
      <w:pPr>
        <w:numPr>
          <w:ilvl w:val="0"/>
          <w:numId w:val="0"/>
        </w:numPr>
        <w:spacing w:after="0" w:line="240" w:lineRule="auto"/>
        <w:jc w:val="both"/>
        <w:rPr>
          <w:rFonts w:cstheme="minorHAnsi"/>
        </w:rPr>
      </w:pPr>
    </w:p>
    <w:p w14:paraId="5C563D6B" w14:textId="77777777" w:rsidR="00816D2E" w:rsidRPr="00816D2E" w:rsidRDefault="00816D2E" w:rsidP="00816D2E">
      <w:pPr>
        <w:numPr>
          <w:ilvl w:val="0"/>
          <w:numId w:val="0"/>
        </w:numPr>
        <w:spacing w:after="0" w:line="240" w:lineRule="auto"/>
        <w:jc w:val="both"/>
        <w:rPr>
          <w:rFonts w:cstheme="minorHAnsi"/>
        </w:rPr>
      </w:pPr>
    </w:p>
    <w:p w14:paraId="239159FF" w14:textId="77777777" w:rsidR="001F7E02" w:rsidRPr="00816D2E" w:rsidRDefault="001F7E02" w:rsidP="00816D2E">
      <w:pPr>
        <w:numPr>
          <w:ilvl w:val="0"/>
          <w:numId w:val="1"/>
        </w:numPr>
        <w:spacing w:after="0" w:line="240" w:lineRule="auto"/>
        <w:jc w:val="both"/>
        <w:rPr>
          <w:rFonts w:cstheme="minorHAnsi"/>
        </w:rPr>
      </w:pPr>
      <w:r w:rsidRPr="00816D2E">
        <w:rPr>
          <w:rFonts w:cstheme="minorHAnsi"/>
          <w:b/>
        </w:rPr>
        <w:t>MEASUREMENT</w:t>
      </w:r>
      <w:r w:rsidRPr="00816D2E">
        <w:rPr>
          <w:rFonts w:cstheme="minorHAnsi"/>
        </w:rPr>
        <w:t xml:space="preserve">. </w:t>
      </w:r>
      <w:r w:rsidR="005F4890" w:rsidRPr="00816D2E">
        <w:rPr>
          <w:rFonts w:cstheme="minorHAnsi"/>
        </w:rPr>
        <w:t xml:space="preserve"> </w:t>
      </w:r>
      <w:r w:rsidRPr="00816D2E">
        <w:rPr>
          <w:rFonts w:cstheme="minorHAnsi"/>
        </w:rPr>
        <w:t xml:space="preserve">The Department will measure the quantity by each individual unit. The Department will not measure pipe, wyes, tees, ells, </w:t>
      </w:r>
      <w:proofErr w:type="spellStart"/>
      <w:r w:rsidRPr="00816D2E">
        <w:rPr>
          <w:rFonts w:cstheme="minorHAnsi"/>
        </w:rPr>
        <w:t>styrofoam</w:t>
      </w:r>
      <w:proofErr w:type="spellEnd"/>
      <w:r w:rsidRPr="00816D2E">
        <w:rPr>
          <w:rFonts w:cstheme="minorHAnsi"/>
        </w:rPr>
        <w:t xml:space="preserve"> backer rods, or repair of damage to existing wall for payment and will consider them incidental to this item of work.</w:t>
      </w:r>
    </w:p>
    <w:p w14:paraId="1A3649C1" w14:textId="737F2209" w:rsidR="001F7E02" w:rsidRDefault="001F7E02" w:rsidP="00816D2E">
      <w:pPr>
        <w:numPr>
          <w:ilvl w:val="0"/>
          <w:numId w:val="0"/>
        </w:numPr>
        <w:spacing w:after="0" w:line="240" w:lineRule="auto"/>
        <w:jc w:val="both"/>
        <w:rPr>
          <w:rFonts w:cstheme="minorHAnsi"/>
        </w:rPr>
      </w:pPr>
    </w:p>
    <w:p w14:paraId="6F49B03F" w14:textId="77777777" w:rsidR="00816D2E" w:rsidRPr="00816D2E" w:rsidRDefault="00816D2E" w:rsidP="00816D2E">
      <w:pPr>
        <w:numPr>
          <w:ilvl w:val="0"/>
          <w:numId w:val="0"/>
        </w:numPr>
        <w:spacing w:after="0" w:line="240" w:lineRule="auto"/>
        <w:jc w:val="both"/>
        <w:rPr>
          <w:rFonts w:cstheme="minorHAnsi"/>
        </w:rPr>
      </w:pPr>
    </w:p>
    <w:p w14:paraId="2FB83AD8" w14:textId="77777777" w:rsidR="009925D1" w:rsidRPr="00816D2E" w:rsidRDefault="001F7E02" w:rsidP="00816D2E">
      <w:pPr>
        <w:numPr>
          <w:ilvl w:val="0"/>
          <w:numId w:val="1"/>
        </w:numPr>
        <w:spacing w:after="0" w:line="240" w:lineRule="auto"/>
        <w:jc w:val="both"/>
        <w:rPr>
          <w:rFonts w:cstheme="minorHAnsi"/>
        </w:rPr>
      </w:pPr>
      <w:r w:rsidRPr="00816D2E">
        <w:rPr>
          <w:rFonts w:cstheme="minorHAnsi"/>
          <w:b/>
        </w:rPr>
        <w:t>PAYMENT</w:t>
      </w:r>
      <w:r w:rsidRPr="00816D2E">
        <w:rPr>
          <w:rFonts w:cstheme="minorHAnsi"/>
        </w:rPr>
        <w:t xml:space="preserve">. </w:t>
      </w:r>
      <w:r w:rsidR="005F4890" w:rsidRPr="00816D2E">
        <w:rPr>
          <w:rFonts w:cstheme="minorHAnsi"/>
        </w:rPr>
        <w:t xml:space="preserve"> </w:t>
      </w:r>
      <w:r w:rsidRPr="00816D2E">
        <w:rPr>
          <w:rFonts w:cstheme="minorHAnsi"/>
        </w:rPr>
        <w:t xml:space="preserve">The Department will make payment for the completed and accepted quantities under the bid item </w:t>
      </w:r>
      <w:r w:rsidRPr="00816D2E">
        <w:rPr>
          <w:rFonts w:cstheme="minorHAnsi"/>
          <w:caps/>
        </w:rPr>
        <w:t>Cored Hole Drainage Box Con</w:t>
      </w:r>
      <w:r w:rsidRPr="00816D2E">
        <w:rPr>
          <w:rFonts w:cstheme="minorHAnsi"/>
        </w:rPr>
        <w:t xml:space="preserve"> (Size).  The Department will consider payment as full compensation for all work required.</w:t>
      </w:r>
    </w:p>
    <w:sectPr w:rsidR="009925D1" w:rsidRPr="00816D2E" w:rsidSect="00493289">
      <w:headerReference w:type="default" r:id="rId7"/>
      <w:footerReference w:type="default" r:id="rId8"/>
      <w:headerReference w:type="first" r:id="rId9"/>
      <w:footerReference w:type="first" r:id="rId10"/>
      <w:pgSz w:w="12240" w:h="15840"/>
      <w:pgMar w:top="1440" w:right="1440" w:bottom="1440" w:left="1440"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639D4" w14:textId="77777777" w:rsidR="00077324" w:rsidRDefault="00077324" w:rsidP="00493289">
      <w:pPr>
        <w:spacing w:after="0" w:line="240" w:lineRule="auto"/>
      </w:pPr>
      <w:r>
        <w:separator/>
      </w:r>
    </w:p>
  </w:endnote>
  <w:endnote w:type="continuationSeparator" w:id="0">
    <w:p w14:paraId="3BEA49B7" w14:textId="77777777" w:rsidR="00077324" w:rsidRDefault="00077324" w:rsidP="0049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B157" w14:textId="77777777" w:rsidR="00493289" w:rsidRDefault="00493289" w:rsidP="00493289">
    <w:pPr>
      <w:pStyle w:val="Footer"/>
      <w:numPr>
        <w:ilvl w:val="0"/>
        <w:numId w:val="0"/>
      </w:num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86A4" w14:textId="77777777" w:rsidR="00493289" w:rsidRDefault="00493289" w:rsidP="00493289">
    <w:pPr>
      <w:pStyle w:val="Footer"/>
      <w:numPr>
        <w:ilvl w:val="0"/>
        <w:numId w:val="0"/>
      </w:num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2BCA" w14:textId="77777777" w:rsidR="00077324" w:rsidRDefault="00077324" w:rsidP="00493289">
      <w:pPr>
        <w:spacing w:after="0" w:line="240" w:lineRule="auto"/>
      </w:pPr>
      <w:r>
        <w:separator/>
      </w:r>
    </w:p>
  </w:footnote>
  <w:footnote w:type="continuationSeparator" w:id="0">
    <w:p w14:paraId="50988BC3" w14:textId="77777777" w:rsidR="00077324" w:rsidRDefault="00077324" w:rsidP="00493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381352"/>
      <w:docPartObj>
        <w:docPartGallery w:val="Page Numbers (Top of Page)"/>
        <w:docPartUnique/>
      </w:docPartObj>
    </w:sdtPr>
    <w:sdtEndPr/>
    <w:sdtContent>
      <w:p w14:paraId="749AEA05" w14:textId="00A3C526" w:rsidR="00493289" w:rsidRPr="00816D2E" w:rsidRDefault="00493289" w:rsidP="00493289">
        <w:pPr>
          <w:pStyle w:val="Header"/>
          <w:numPr>
            <w:ilvl w:val="0"/>
            <w:numId w:val="0"/>
          </w:numPr>
        </w:pPr>
        <w:r w:rsidRPr="00816D2E">
          <w:t>Cored Hole Drainage Box Connector</w:t>
        </w:r>
      </w:p>
      <w:p w14:paraId="2EB7EE76" w14:textId="1732029C" w:rsidR="00493289" w:rsidRPr="00816D2E" w:rsidRDefault="00493289" w:rsidP="00493289">
        <w:pPr>
          <w:pStyle w:val="Header"/>
          <w:numPr>
            <w:ilvl w:val="0"/>
            <w:numId w:val="0"/>
          </w:numPr>
        </w:pPr>
        <w:r w:rsidRPr="00816D2E">
          <w:t xml:space="preserve">Page </w:t>
        </w:r>
        <w:r w:rsidRPr="00816D2E">
          <w:fldChar w:fldCharType="begin"/>
        </w:r>
        <w:r w:rsidRPr="00816D2E">
          <w:instrText xml:space="preserve"> PAGE </w:instrText>
        </w:r>
        <w:r w:rsidRPr="00816D2E">
          <w:fldChar w:fldCharType="separate"/>
        </w:r>
        <w:r w:rsidRPr="00816D2E">
          <w:rPr>
            <w:noProof/>
          </w:rPr>
          <w:t>2</w:t>
        </w:r>
        <w:r w:rsidRPr="00816D2E">
          <w:fldChar w:fldCharType="end"/>
        </w:r>
        <w:r w:rsidRPr="00816D2E">
          <w:t xml:space="preserve"> of </w:t>
        </w:r>
        <w:fldSimple w:instr=" NUMPAGES  ">
          <w:r w:rsidRPr="00816D2E">
            <w:rPr>
              <w:noProof/>
            </w:rPr>
            <w:t>2</w:t>
          </w:r>
        </w:fldSimple>
      </w:p>
    </w:sdtContent>
  </w:sdt>
  <w:p w14:paraId="052EA2EF" w14:textId="28BBF519" w:rsidR="00493289" w:rsidRPr="00816D2E" w:rsidRDefault="00493289" w:rsidP="00493289">
    <w:pPr>
      <w:pStyle w:val="Header"/>
      <w:numPr>
        <w:ilvl w:val="0"/>
        <w:numId w:val="0"/>
      </w:numPr>
    </w:pPr>
  </w:p>
  <w:p w14:paraId="4DB690AB" w14:textId="77777777" w:rsidR="00493289" w:rsidRPr="00816D2E" w:rsidRDefault="00493289" w:rsidP="00493289">
    <w:pPr>
      <w:pStyle w:val="Header"/>
      <w:numPr>
        <w:ilvl w:val="0"/>
        <w:numId w:val="0"/>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F78F" w14:textId="77777777" w:rsidR="00493289" w:rsidRDefault="00493289" w:rsidP="00493289">
    <w:pPr>
      <w:pStyle w:val="Header"/>
      <w:numPr>
        <w:ilvl w:val="0"/>
        <w:numId w:val="0"/>
      </w:num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77B01"/>
    <w:multiLevelType w:val="hybridMultilevel"/>
    <w:tmpl w:val="46F80E46"/>
    <w:lvl w:ilvl="0" w:tplc="16EEF25C">
      <w:start w:val="1"/>
      <w:numFmt w:val="upperLetter"/>
      <w:lvlText w:val="%1."/>
      <w:lvlJc w:val="left"/>
      <w:pPr>
        <w:ind w:left="840" w:hanging="293"/>
      </w:pPr>
      <w:rPr>
        <w:rFonts w:ascii="Times New Roman" w:eastAsia="Times New Roman" w:hAnsi="Times New Roman" w:hint="default"/>
        <w:b/>
        <w:bCs/>
        <w:spacing w:val="-1"/>
        <w:sz w:val="24"/>
        <w:szCs w:val="24"/>
      </w:rPr>
    </w:lvl>
    <w:lvl w:ilvl="1" w:tplc="519E6B46">
      <w:start w:val="1"/>
      <w:numFmt w:val="bullet"/>
      <w:lvlText w:val="•"/>
      <w:lvlJc w:val="left"/>
      <w:pPr>
        <w:ind w:left="1716" w:hanging="293"/>
      </w:pPr>
      <w:rPr>
        <w:rFonts w:hint="default"/>
      </w:rPr>
    </w:lvl>
    <w:lvl w:ilvl="2" w:tplc="F06CE32E">
      <w:start w:val="1"/>
      <w:numFmt w:val="bullet"/>
      <w:lvlText w:val="•"/>
      <w:lvlJc w:val="left"/>
      <w:pPr>
        <w:ind w:left="2592" w:hanging="293"/>
      </w:pPr>
      <w:rPr>
        <w:rFonts w:hint="default"/>
      </w:rPr>
    </w:lvl>
    <w:lvl w:ilvl="3" w:tplc="DC9A9EA2">
      <w:start w:val="1"/>
      <w:numFmt w:val="bullet"/>
      <w:lvlText w:val="•"/>
      <w:lvlJc w:val="left"/>
      <w:pPr>
        <w:ind w:left="3468" w:hanging="293"/>
      </w:pPr>
      <w:rPr>
        <w:rFonts w:hint="default"/>
      </w:rPr>
    </w:lvl>
    <w:lvl w:ilvl="4" w:tplc="340E8A98">
      <w:start w:val="1"/>
      <w:numFmt w:val="bullet"/>
      <w:lvlText w:val="•"/>
      <w:lvlJc w:val="left"/>
      <w:pPr>
        <w:ind w:left="4344" w:hanging="293"/>
      </w:pPr>
      <w:rPr>
        <w:rFonts w:hint="default"/>
      </w:rPr>
    </w:lvl>
    <w:lvl w:ilvl="5" w:tplc="5FB2BA76">
      <w:start w:val="1"/>
      <w:numFmt w:val="bullet"/>
      <w:lvlText w:val="•"/>
      <w:lvlJc w:val="left"/>
      <w:pPr>
        <w:ind w:left="5220" w:hanging="293"/>
      </w:pPr>
      <w:rPr>
        <w:rFonts w:hint="default"/>
      </w:rPr>
    </w:lvl>
    <w:lvl w:ilvl="6" w:tplc="C4268DEE">
      <w:start w:val="1"/>
      <w:numFmt w:val="bullet"/>
      <w:lvlText w:val="•"/>
      <w:lvlJc w:val="left"/>
      <w:pPr>
        <w:ind w:left="6096" w:hanging="293"/>
      </w:pPr>
      <w:rPr>
        <w:rFonts w:hint="default"/>
      </w:rPr>
    </w:lvl>
    <w:lvl w:ilvl="7" w:tplc="74DC7ADE">
      <w:start w:val="1"/>
      <w:numFmt w:val="bullet"/>
      <w:lvlText w:val="•"/>
      <w:lvlJc w:val="left"/>
      <w:pPr>
        <w:ind w:left="6972" w:hanging="293"/>
      </w:pPr>
      <w:rPr>
        <w:rFonts w:hint="default"/>
      </w:rPr>
    </w:lvl>
    <w:lvl w:ilvl="8" w:tplc="036EEFBE">
      <w:start w:val="1"/>
      <w:numFmt w:val="bullet"/>
      <w:lvlText w:val="•"/>
      <w:lvlJc w:val="left"/>
      <w:pPr>
        <w:ind w:left="7848" w:hanging="293"/>
      </w:pPr>
      <w:rPr>
        <w:rFonts w:hint="default"/>
      </w:rPr>
    </w:lvl>
  </w:abstractNum>
  <w:abstractNum w:abstractNumId="1" w15:restartNumberingAfterBreak="0">
    <w:nsid w:val="2DD27A78"/>
    <w:multiLevelType w:val="hybridMultilevel"/>
    <w:tmpl w:val="FF364050"/>
    <w:lvl w:ilvl="0" w:tplc="734EF8C2">
      <w:start w:val="1"/>
      <w:numFmt w:val="upperLetter"/>
      <w:lvlText w:val="%1."/>
      <w:lvlJc w:val="left"/>
      <w:pPr>
        <w:ind w:left="1013" w:hanging="293"/>
      </w:pPr>
      <w:rPr>
        <w:rFonts w:ascii="Times New Roman" w:eastAsia="Times New Roman" w:hAnsi="Times New Roman" w:hint="default"/>
        <w:b/>
        <w:bCs/>
        <w:spacing w:val="-1"/>
        <w:sz w:val="24"/>
        <w:szCs w:val="24"/>
      </w:rPr>
    </w:lvl>
    <w:lvl w:ilvl="1" w:tplc="B05A027E">
      <w:start w:val="1"/>
      <w:numFmt w:val="bullet"/>
      <w:lvlText w:val="•"/>
      <w:lvlJc w:val="left"/>
      <w:pPr>
        <w:ind w:left="1738" w:hanging="293"/>
      </w:pPr>
      <w:rPr>
        <w:rFonts w:hint="default"/>
      </w:rPr>
    </w:lvl>
    <w:lvl w:ilvl="2" w:tplc="0758FFE6">
      <w:start w:val="1"/>
      <w:numFmt w:val="bullet"/>
      <w:lvlText w:val="•"/>
      <w:lvlJc w:val="left"/>
      <w:pPr>
        <w:ind w:left="2616" w:hanging="293"/>
      </w:pPr>
      <w:rPr>
        <w:rFonts w:hint="default"/>
      </w:rPr>
    </w:lvl>
    <w:lvl w:ilvl="3" w:tplc="D27A18D6">
      <w:start w:val="1"/>
      <w:numFmt w:val="bullet"/>
      <w:lvlText w:val="•"/>
      <w:lvlJc w:val="left"/>
      <w:pPr>
        <w:ind w:left="3494" w:hanging="293"/>
      </w:pPr>
      <w:rPr>
        <w:rFonts w:hint="default"/>
      </w:rPr>
    </w:lvl>
    <w:lvl w:ilvl="4" w:tplc="488A3704">
      <w:start w:val="1"/>
      <w:numFmt w:val="bullet"/>
      <w:lvlText w:val="•"/>
      <w:lvlJc w:val="left"/>
      <w:pPr>
        <w:ind w:left="4372" w:hanging="293"/>
      </w:pPr>
      <w:rPr>
        <w:rFonts w:hint="default"/>
      </w:rPr>
    </w:lvl>
    <w:lvl w:ilvl="5" w:tplc="21EE31B6">
      <w:start w:val="1"/>
      <w:numFmt w:val="bullet"/>
      <w:lvlText w:val="•"/>
      <w:lvlJc w:val="left"/>
      <w:pPr>
        <w:ind w:left="5250" w:hanging="293"/>
      </w:pPr>
      <w:rPr>
        <w:rFonts w:hint="default"/>
      </w:rPr>
    </w:lvl>
    <w:lvl w:ilvl="6" w:tplc="879AB602">
      <w:start w:val="1"/>
      <w:numFmt w:val="bullet"/>
      <w:lvlText w:val="•"/>
      <w:lvlJc w:val="left"/>
      <w:pPr>
        <w:ind w:left="6128" w:hanging="293"/>
      </w:pPr>
      <w:rPr>
        <w:rFonts w:hint="default"/>
      </w:rPr>
    </w:lvl>
    <w:lvl w:ilvl="7" w:tplc="D92297EE">
      <w:start w:val="1"/>
      <w:numFmt w:val="bullet"/>
      <w:lvlText w:val="•"/>
      <w:lvlJc w:val="left"/>
      <w:pPr>
        <w:ind w:left="7006" w:hanging="293"/>
      </w:pPr>
      <w:rPr>
        <w:rFonts w:hint="default"/>
      </w:rPr>
    </w:lvl>
    <w:lvl w:ilvl="8" w:tplc="FE408654">
      <w:start w:val="1"/>
      <w:numFmt w:val="bullet"/>
      <w:lvlText w:val="•"/>
      <w:lvlJc w:val="left"/>
      <w:pPr>
        <w:ind w:left="7884" w:hanging="293"/>
      </w:pPr>
      <w:rPr>
        <w:rFonts w:hint="default"/>
      </w:rPr>
    </w:lvl>
  </w:abstractNum>
  <w:abstractNum w:abstractNumId="2" w15:restartNumberingAfterBreak="0">
    <w:nsid w:val="6AA335AD"/>
    <w:multiLevelType w:val="multilevel"/>
    <w:tmpl w:val="892866D6"/>
    <w:lvl w:ilvl="0">
      <w:start w:val="1"/>
      <w:numFmt w:val="upperRoman"/>
      <w:lvlText w:val="%1."/>
      <w:lvlJc w:val="left"/>
      <w:pPr>
        <w:ind w:left="360" w:hanging="360"/>
      </w:pPr>
      <w:rPr>
        <w:rFonts w:hint="default"/>
        <w:b/>
      </w:rPr>
    </w:lvl>
    <w:lvl w:ilvl="1">
      <w:start w:val="1"/>
      <w:numFmt w:val="upperLetter"/>
      <w:lvlText w:val="%2."/>
      <w:lvlJc w:val="left"/>
      <w:pPr>
        <w:ind w:left="720" w:hanging="360"/>
      </w:pPr>
      <w:rPr>
        <w:rFonts w:hint="default"/>
        <w:b/>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Normal"/>
      <w:lvlText w:val="(%9)"/>
      <w:lvlJc w:val="left"/>
      <w:pPr>
        <w:ind w:left="324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E02"/>
    <w:rsid w:val="00077324"/>
    <w:rsid w:val="001F7E02"/>
    <w:rsid w:val="00493289"/>
    <w:rsid w:val="00581B05"/>
    <w:rsid w:val="005C0962"/>
    <w:rsid w:val="005F4890"/>
    <w:rsid w:val="00653628"/>
    <w:rsid w:val="006D3A42"/>
    <w:rsid w:val="00774F90"/>
    <w:rsid w:val="00816D2E"/>
    <w:rsid w:val="0083386D"/>
    <w:rsid w:val="009516C0"/>
    <w:rsid w:val="009C73AD"/>
    <w:rsid w:val="00A33189"/>
    <w:rsid w:val="00B23880"/>
    <w:rsid w:val="00B75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CCBA4"/>
  <w15:chartTrackingRefBased/>
  <w15:docId w15:val="{FD1AB62A-621D-4EB4-B1B6-22B8262D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numPr>
        <w:ilvl w:val="8"/>
        <w:numId w:val="1"/>
      </w:numP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86D"/>
    <w:pPr>
      <w:ind w:left="720"/>
      <w:contextualSpacing/>
    </w:pPr>
  </w:style>
  <w:style w:type="paragraph" w:styleId="Header">
    <w:name w:val="header"/>
    <w:basedOn w:val="Normal"/>
    <w:link w:val="HeaderChar"/>
    <w:uiPriority w:val="99"/>
    <w:unhideWhenUsed/>
    <w:rsid w:val="004932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289"/>
  </w:style>
  <w:style w:type="paragraph" w:styleId="Footer">
    <w:name w:val="footer"/>
    <w:basedOn w:val="Normal"/>
    <w:link w:val="FooterChar"/>
    <w:uiPriority w:val="99"/>
    <w:unhideWhenUsed/>
    <w:rsid w:val="004932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32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EE4C33E-19D5-4B3B-8CBB-C66AF77F8BAA}"/>
</file>

<file path=customXml/itemProps2.xml><?xml version="1.0" encoding="utf-8"?>
<ds:datastoreItem xmlns:ds="http://schemas.openxmlformats.org/officeDocument/2006/customXml" ds:itemID="{60791E77-A011-4579-B83A-77E65F877DCE}"/>
</file>

<file path=customXml/itemProps3.xml><?xml version="1.0" encoding="utf-8"?>
<ds:datastoreItem xmlns:ds="http://schemas.openxmlformats.org/officeDocument/2006/customXml" ds:itemID="{8AC5200C-41C3-4AA7-B0F7-043843D432DB}"/>
</file>

<file path=docProps/app.xml><?xml version="1.0" encoding="utf-8"?>
<Properties xmlns="http://schemas.openxmlformats.org/officeDocument/2006/extended-properties" xmlns:vt="http://schemas.openxmlformats.org/officeDocument/2006/docPropsVTypes">
  <Template>Normal</Template>
  <TotalTime>1318</TotalTime>
  <Pages>2</Pages>
  <Words>588</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Vaughn, Mike S (KYTC)</dc:creator>
  <cp:keywords/>
  <dc:description/>
  <cp:lastModifiedBy>Vaughn, Mike S (KYTC)</cp:lastModifiedBy>
  <cp:revision>7</cp:revision>
  <dcterms:created xsi:type="dcterms:W3CDTF">2021-05-18T15:56:00Z</dcterms:created>
  <dcterms:modified xsi:type="dcterms:W3CDTF">2022-08-24T17:29:00Z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