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0F2B" w14:textId="680850AC" w:rsidR="00C24A40" w:rsidRPr="009655C9" w:rsidRDefault="00C24A40" w:rsidP="00AA0AEE">
      <w:pPr>
        <w:autoSpaceDE w:val="0"/>
        <w:autoSpaceDN w:val="0"/>
        <w:adjustRightInd w:val="0"/>
        <w:jc w:val="center"/>
        <w:rPr>
          <w:b/>
          <w:bCs/>
        </w:rPr>
      </w:pPr>
      <w:r w:rsidRPr="009655C9">
        <w:rPr>
          <w:b/>
          <w:bCs/>
        </w:rPr>
        <w:t xml:space="preserve">METHODOLOGY FOR </w:t>
      </w:r>
      <w:r w:rsidR="00AA0AEE">
        <w:rPr>
          <w:b/>
          <w:bCs/>
        </w:rPr>
        <w:t>DEVELOPING SOCIOECONOMIC STUDIES FOR KYTC PLANNING</w:t>
      </w:r>
    </w:p>
    <w:p w14:paraId="6E35C6E2" w14:textId="77777777" w:rsidR="00C24A40" w:rsidRPr="009655C9" w:rsidRDefault="00C24A40" w:rsidP="00C24A40">
      <w:pPr>
        <w:autoSpaceDE w:val="0"/>
        <w:autoSpaceDN w:val="0"/>
        <w:adjustRightInd w:val="0"/>
      </w:pPr>
    </w:p>
    <w:p w14:paraId="201BD107" w14:textId="77777777" w:rsidR="00C24A40" w:rsidRPr="009655C9" w:rsidRDefault="00C24A40" w:rsidP="00C24A40">
      <w:pPr>
        <w:autoSpaceDE w:val="0"/>
        <w:autoSpaceDN w:val="0"/>
        <w:adjustRightInd w:val="0"/>
        <w:rPr>
          <w:b/>
          <w:color w:val="0070C0"/>
        </w:rPr>
      </w:pPr>
      <w:r w:rsidRPr="009655C9">
        <w:rPr>
          <w:b/>
          <w:color w:val="0070C0"/>
        </w:rPr>
        <w:t>Cover Page</w:t>
      </w:r>
    </w:p>
    <w:p w14:paraId="662EB602" w14:textId="77777777" w:rsidR="00C24A40" w:rsidRPr="009655C9" w:rsidRDefault="00C24A40" w:rsidP="00C24A40">
      <w:pPr>
        <w:autoSpaceDE w:val="0"/>
        <w:autoSpaceDN w:val="0"/>
        <w:adjustRightInd w:val="0"/>
        <w:ind w:left="720"/>
      </w:pPr>
    </w:p>
    <w:p w14:paraId="29095AF9" w14:textId="77777777" w:rsidR="00C24A40" w:rsidRPr="009655C9" w:rsidRDefault="00C24A40" w:rsidP="00C24A40">
      <w:pPr>
        <w:autoSpaceDE w:val="0"/>
        <w:autoSpaceDN w:val="0"/>
        <w:adjustRightInd w:val="0"/>
        <w:ind w:left="720"/>
      </w:pPr>
      <w:r w:rsidRPr="009655C9">
        <w:rPr>
          <w:b/>
        </w:rPr>
        <w:t>Title</w:t>
      </w:r>
      <w:r w:rsidRPr="009655C9">
        <w:t>: Insert specific study type/area</w:t>
      </w:r>
    </w:p>
    <w:p w14:paraId="66F3B9AD" w14:textId="77777777" w:rsidR="00C24A40" w:rsidRPr="009655C9" w:rsidRDefault="00C24A40" w:rsidP="00C24A40">
      <w:pPr>
        <w:autoSpaceDE w:val="0"/>
        <w:autoSpaceDN w:val="0"/>
        <w:adjustRightInd w:val="0"/>
        <w:ind w:left="720"/>
      </w:pPr>
      <w:r w:rsidRPr="009655C9">
        <w:rPr>
          <w:b/>
        </w:rPr>
        <w:t>Subtitle</w:t>
      </w:r>
      <w:r w:rsidRPr="009655C9">
        <w:t>: Socioeconomic Study</w:t>
      </w:r>
    </w:p>
    <w:p w14:paraId="2F271D08" w14:textId="77777777" w:rsidR="00C24A40" w:rsidRPr="009655C9" w:rsidRDefault="00C24A40" w:rsidP="00C24A40">
      <w:pPr>
        <w:autoSpaceDE w:val="0"/>
        <w:autoSpaceDN w:val="0"/>
        <w:adjustRightInd w:val="0"/>
        <w:ind w:left="720"/>
      </w:pPr>
      <w:r w:rsidRPr="009655C9">
        <w:rPr>
          <w:b/>
        </w:rPr>
        <w:t>Date</w:t>
      </w:r>
      <w:r w:rsidRPr="009655C9">
        <w:t xml:space="preserve">: </w:t>
      </w:r>
    </w:p>
    <w:p w14:paraId="0A918710" w14:textId="77777777" w:rsidR="00C24A40" w:rsidRPr="009655C9" w:rsidRDefault="00C24A40" w:rsidP="00C24A40">
      <w:pPr>
        <w:autoSpaceDE w:val="0"/>
        <w:autoSpaceDN w:val="0"/>
        <w:adjustRightInd w:val="0"/>
        <w:ind w:left="720"/>
      </w:pPr>
      <w:r w:rsidRPr="009655C9">
        <w:rPr>
          <w:b/>
        </w:rPr>
        <w:t>Author</w:t>
      </w:r>
      <w:r w:rsidRPr="009655C9">
        <w:t xml:space="preserve">: </w:t>
      </w:r>
    </w:p>
    <w:p w14:paraId="0BF72B69" w14:textId="77777777" w:rsidR="00C24A40" w:rsidRPr="009655C9" w:rsidRDefault="00C24A40" w:rsidP="00C24A40">
      <w:pPr>
        <w:rPr>
          <w:b/>
          <w:color w:val="0070C0"/>
        </w:rPr>
      </w:pPr>
    </w:p>
    <w:p w14:paraId="24491045" w14:textId="77777777" w:rsidR="00C24A40" w:rsidRPr="009655C9" w:rsidRDefault="00C24A40" w:rsidP="00C24A40">
      <w:pPr>
        <w:rPr>
          <w:b/>
          <w:color w:val="0070C0"/>
        </w:rPr>
      </w:pPr>
      <w:r w:rsidRPr="009655C9">
        <w:rPr>
          <w:b/>
          <w:color w:val="0070C0"/>
        </w:rPr>
        <w:t>Analysis</w:t>
      </w:r>
    </w:p>
    <w:p w14:paraId="2201F897" w14:textId="4DE59BE7" w:rsidR="00C24A40" w:rsidRPr="009655C9" w:rsidRDefault="00C24A40" w:rsidP="00C24A40">
      <w:pPr>
        <w:jc w:val="both"/>
      </w:pPr>
      <w:r>
        <w:t>A</w:t>
      </w:r>
      <w:r w:rsidRPr="009655C9">
        <w:t xml:space="preserve">gencies </w:t>
      </w:r>
      <w:r>
        <w:t>should</w:t>
      </w:r>
      <w:r w:rsidRPr="009655C9">
        <w:t xml:space="preserve"> demonstrate meaningful</w:t>
      </w:r>
      <w:r>
        <w:t xml:space="preserve"> public</w:t>
      </w:r>
      <w:r w:rsidRPr="009655C9">
        <w:t xml:space="preserve"> involvement with </w:t>
      </w:r>
      <w:r>
        <w:t>all people regardless of race, color, national origin, or income,</w:t>
      </w:r>
      <w:r w:rsidRPr="009655C9">
        <w:t xml:space="preserve"> with respect to development, implementation and enforcement of environmental laws, regulations and policies. </w:t>
      </w:r>
    </w:p>
    <w:p w14:paraId="40AA844F" w14:textId="77777777" w:rsidR="00C24A40" w:rsidRPr="009655C9" w:rsidRDefault="00C24A40" w:rsidP="00C24A40">
      <w:pPr>
        <w:jc w:val="both"/>
      </w:pPr>
      <w:proofErr w:type="gramStart"/>
      <w:r w:rsidRPr="009655C9">
        <w:t>Additionally</w:t>
      </w:r>
      <w:proofErr w:type="gramEnd"/>
      <w:r w:rsidRPr="009655C9">
        <w:t xml:space="preserve"> KYTC works to identify potential populations of the Elderly, Disabled, Limited English Proficiency and Limited Transportation Options that may be impacted in or near the Affected Community (AC) should highway improvements take place in the future. </w:t>
      </w:r>
    </w:p>
    <w:p w14:paraId="68A2A12A" w14:textId="77777777" w:rsidR="00C24A40" w:rsidRPr="009655C9" w:rsidRDefault="00C24A40" w:rsidP="00C24A40">
      <w:r w:rsidRPr="009655C9">
        <w:t>Examples of these studies include, but are not limited to:</w:t>
      </w:r>
    </w:p>
    <w:p w14:paraId="420DB9A0" w14:textId="77777777" w:rsidR="00C24A40" w:rsidRPr="009655C9" w:rsidRDefault="00C24A40" w:rsidP="00C24A40">
      <w:pPr>
        <w:pStyle w:val="ListParagraph"/>
        <w:numPr>
          <w:ilvl w:val="0"/>
          <w:numId w:val="4"/>
        </w:numPr>
        <w:spacing w:after="200" w:line="276" w:lineRule="auto"/>
      </w:pPr>
      <w:r w:rsidRPr="009655C9">
        <w:t>Corridor Studies</w:t>
      </w:r>
    </w:p>
    <w:p w14:paraId="23970226" w14:textId="77777777" w:rsidR="00C24A40" w:rsidRPr="009655C9" w:rsidRDefault="00C24A40" w:rsidP="00C24A40">
      <w:pPr>
        <w:pStyle w:val="ListParagraph"/>
        <w:numPr>
          <w:ilvl w:val="0"/>
          <w:numId w:val="4"/>
        </w:numPr>
        <w:spacing w:after="200" w:line="276" w:lineRule="auto"/>
      </w:pPr>
      <w:r w:rsidRPr="009655C9">
        <w:t xml:space="preserve"> Traffic Studies</w:t>
      </w:r>
    </w:p>
    <w:p w14:paraId="733A292B" w14:textId="77777777" w:rsidR="00C24A40" w:rsidRPr="009655C9" w:rsidRDefault="00C24A40" w:rsidP="00C24A40">
      <w:pPr>
        <w:pStyle w:val="ListParagraph"/>
        <w:numPr>
          <w:ilvl w:val="0"/>
          <w:numId w:val="4"/>
        </w:numPr>
        <w:spacing w:after="200" w:line="276" w:lineRule="auto"/>
      </w:pPr>
      <w:r w:rsidRPr="009655C9">
        <w:t xml:space="preserve"> Small Urban Area Studies</w:t>
      </w:r>
    </w:p>
    <w:p w14:paraId="194A4DC3" w14:textId="77777777" w:rsidR="00C24A40" w:rsidRPr="009655C9" w:rsidRDefault="00C24A40" w:rsidP="00C24A40">
      <w:pPr>
        <w:pStyle w:val="ListParagraph"/>
        <w:numPr>
          <w:ilvl w:val="0"/>
          <w:numId w:val="4"/>
        </w:numPr>
        <w:spacing w:after="200" w:line="276" w:lineRule="auto"/>
      </w:pPr>
      <w:r w:rsidRPr="009655C9">
        <w:t xml:space="preserve"> Feasibility Studies</w:t>
      </w:r>
    </w:p>
    <w:p w14:paraId="5295DE1F" w14:textId="77777777" w:rsidR="00C24A40" w:rsidRPr="009655C9" w:rsidRDefault="00C24A40" w:rsidP="00C24A40">
      <w:pPr>
        <w:pStyle w:val="ListParagraph"/>
        <w:numPr>
          <w:ilvl w:val="0"/>
          <w:numId w:val="4"/>
        </w:numPr>
        <w:spacing w:after="200" w:line="276" w:lineRule="auto"/>
      </w:pPr>
      <w:r w:rsidRPr="009655C9">
        <w:t xml:space="preserve"> Interchange Justification Studies</w:t>
      </w:r>
    </w:p>
    <w:p w14:paraId="5A773283" w14:textId="77777777" w:rsidR="00C24A40" w:rsidRPr="009655C9" w:rsidRDefault="00C24A40" w:rsidP="00C24A40">
      <w:pPr>
        <w:pStyle w:val="ListParagraph"/>
        <w:numPr>
          <w:ilvl w:val="0"/>
          <w:numId w:val="4"/>
        </w:numPr>
        <w:autoSpaceDE w:val="0"/>
        <w:autoSpaceDN w:val="0"/>
        <w:adjustRightInd w:val="0"/>
      </w:pPr>
      <w:r w:rsidRPr="009655C9">
        <w:t xml:space="preserve"> Interchange Modification Reports</w:t>
      </w:r>
    </w:p>
    <w:p w14:paraId="29D9B0F8" w14:textId="77777777" w:rsidR="00C24A40" w:rsidRPr="009655C9" w:rsidRDefault="00C24A40" w:rsidP="00C24A40">
      <w:pPr>
        <w:autoSpaceDE w:val="0"/>
        <w:autoSpaceDN w:val="0"/>
        <w:adjustRightInd w:val="0"/>
      </w:pPr>
    </w:p>
    <w:p w14:paraId="1F66EAB8" w14:textId="77777777" w:rsidR="00C24A40" w:rsidRPr="009655C9" w:rsidRDefault="00C24A40" w:rsidP="00C24A40">
      <w:pPr>
        <w:autoSpaceDE w:val="0"/>
        <w:autoSpaceDN w:val="0"/>
        <w:adjustRightInd w:val="0"/>
        <w:jc w:val="both"/>
      </w:pPr>
      <w:r w:rsidRPr="009655C9">
        <w:t>Affected Communit</w:t>
      </w:r>
      <w:r>
        <w:t>ies</w:t>
      </w:r>
      <w:r w:rsidRPr="009655C9">
        <w:t xml:space="preserve"> with potential impacts are determined by locating populations of minority, low-income, elderly, disabled, and limited English proficiency and calculating their percentage in the area relative to a reference community of comparison (COC). </w:t>
      </w:r>
    </w:p>
    <w:p w14:paraId="4A475967" w14:textId="77777777" w:rsidR="00C24A40" w:rsidRPr="009655C9" w:rsidRDefault="00C24A40" w:rsidP="00C24A40">
      <w:pPr>
        <w:autoSpaceDE w:val="0"/>
        <w:autoSpaceDN w:val="0"/>
        <w:adjustRightInd w:val="0"/>
      </w:pPr>
    </w:p>
    <w:p w14:paraId="2E3DA5FA" w14:textId="77777777" w:rsidR="00C24A40" w:rsidRPr="009655C9" w:rsidRDefault="00C24A40" w:rsidP="00C24A40">
      <w:pPr>
        <w:autoSpaceDE w:val="0"/>
        <w:autoSpaceDN w:val="0"/>
        <w:adjustRightInd w:val="0"/>
      </w:pPr>
      <w:r w:rsidRPr="009655C9">
        <w:t>Communities of comparison:</w:t>
      </w:r>
    </w:p>
    <w:p w14:paraId="0E152E55" w14:textId="77777777" w:rsidR="00C24A40" w:rsidRPr="009655C9" w:rsidRDefault="00C24A40" w:rsidP="00C24A40">
      <w:pPr>
        <w:pStyle w:val="ListParagraph"/>
        <w:numPr>
          <w:ilvl w:val="0"/>
          <w:numId w:val="2"/>
        </w:numPr>
        <w:autoSpaceDE w:val="0"/>
        <w:autoSpaceDN w:val="0"/>
        <w:adjustRightInd w:val="0"/>
      </w:pPr>
      <w:r w:rsidRPr="009655C9">
        <w:t>The county percentage</w:t>
      </w:r>
    </w:p>
    <w:p w14:paraId="5D9F236E" w14:textId="77777777" w:rsidR="00C24A40" w:rsidRPr="009655C9" w:rsidRDefault="00C24A40" w:rsidP="00C24A40">
      <w:pPr>
        <w:pStyle w:val="ListParagraph"/>
        <w:numPr>
          <w:ilvl w:val="0"/>
          <w:numId w:val="2"/>
        </w:numPr>
        <w:autoSpaceDE w:val="0"/>
        <w:autoSpaceDN w:val="0"/>
        <w:adjustRightInd w:val="0"/>
      </w:pPr>
      <w:r w:rsidRPr="009655C9">
        <w:t>Kentucky percentage</w:t>
      </w:r>
    </w:p>
    <w:p w14:paraId="3D1F27C6" w14:textId="77777777" w:rsidR="00C24A40" w:rsidRPr="009655C9" w:rsidRDefault="00C24A40" w:rsidP="00C24A40">
      <w:pPr>
        <w:pStyle w:val="ListParagraph"/>
        <w:numPr>
          <w:ilvl w:val="0"/>
          <w:numId w:val="2"/>
        </w:numPr>
        <w:autoSpaceDE w:val="0"/>
        <w:autoSpaceDN w:val="0"/>
        <w:adjustRightInd w:val="0"/>
      </w:pPr>
      <w:r w:rsidRPr="009655C9">
        <w:t>Block groups within reasonable proximity of the study area</w:t>
      </w:r>
    </w:p>
    <w:p w14:paraId="6F45B796" w14:textId="77777777" w:rsidR="00C24A40" w:rsidRPr="009655C9" w:rsidRDefault="00C24A40" w:rsidP="00C24A40">
      <w:pPr>
        <w:pStyle w:val="ListParagraph"/>
        <w:numPr>
          <w:ilvl w:val="0"/>
          <w:numId w:val="2"/>
        </w:numPr>
        <w:autoSpaceDE w:val="0"/>
        <w:autoSpaceDN w:val="0"/>
        <w:adjustRightInd w:val="0"/>
      </w:pPr>
      <w:r w:rsidRPr="009655C9">
        <w:t>United States</w:t>
      </w:r>
    </w:p>
    <w:p w14:paraId="60A0DB78" w14:textId="77777777" w:rsidR="00C24A40" w:rsidRPr="009655C9" w:rsidRDefault="00C24A40" w:rsidP="00C24A40">
      <w:pPr>
        <w:pStyle w:val="ListParagraph"/>
        <w:numPr>
          <w:ilvl w:val="0"/>
          <w:numId w:val="2"/>
        </w:numPr>
        <w:autoSpaceDE w:val="0"/>
        <w:autoSpaceDN w:val="0"/>
        <w:adjustRightInd w:val="0"/>
      </w:pPr>
      <w:r w:rsidRPr="009655C9">
        <w:t>ADD Region</w:t>
      </w:r>
    </w:p>
    <w:p w14:paraId="16106CAE" w14:textId="77777777" w:rsidR="00C24A40" w:rsidRPr="009655C9" w:rsidRDefault="00C24A40" w:rsidP="00C24A40">
      <w:r>
        <w:br w:type="page"/>
      </w:r>
    </w:p>
    <w:p w14:paraId="0F25F9C6" w14:textId="5E65B1B3" w:rsidR="00C24A40" w:rsidRPr="009655C9" w:rsidRDefault="00C24A40" w:rsidP="00C24A40">
      <w:pPr>
        <w:autoSpaceDE w:val="0"/>
        <w:autoSpaceDN w:val="0"/>
        <w:adjustRightInd w:val="0"/>
        <w:jc w:val="both"/>
      </w:pPr>
      <w:r w:rsidRPr="009655C9">
        <w:lastRenderedPageBreak/>
        <w:t xml:space="preserve">The demographics of the study area should be defined using block group data accessed via the American Community Survey </w:t>
      </w:r>
      <w:proofErr w:type="gramStart"/>
      <w:r w:rsidRPr="009655C9">
        <w:t>5</w:t>
      </w:r>
      <w:r w:rsidR="0078339B">
        <w:t xml:space="preserve"> </w:t>
      </w:r>
      <w:r w:rsidRPr="009655C9">
        <w:t>year</w:t>
      </w:r>
      <w:proofErr w:type="gramEnd"/>
      <w:r w:rsidRPr="009655C9">
        <w:t xml:space="preserve"> data:</w:t>
      </w:r>
    </w:p>
    <w:p w14:paraId="3EEBDB00" w14:textId="77777777" w:rsidR="00C24A40" w:rsidRPr="009655C9" w:rsidRDefault="00C24A40" w:rsidP="00C24A40">
      <w:pPr>
        <w:autoSpaceDE w:val="0"/>
        <w:autoSpaceDN w:val="0"/>
        <w:adjustRightInd w:val="0"/>
        <w:jc w:val="both"/>
      </w:pPr>
    </w:p>
    <w:p w14:paraId="793D6012" w14:textId="77777777" w:rsidR="00C24A40" w:rsidRPr="009655C9" w:rsidRDefault="00C24A40" w:rsidP="00C24A40">
      <w:pPr>
        <w:pStyle w:val="ListParagraph"/>
        <w:numPr>
          <w:ilvl w:val="0"/>
          <w:numId w:val="5"/>
        </w:numPr>
        <w:autoSpaceDE w:val="0"/>
        <w:autoSpaceDN w:val="0"/>
        <w:adjustRightInd w:val="0"/>
      </w:pPr>
      <w:r w:rsidRPr="009655C9">
        <w:t>Minority</w:t>
      </w:r>
    </w:p>
    <w:p w14:paraId="429B80E9" w14:textId="77777777" w:rsidR="00C24A40" w:rsidRPr="009655C9" w:rsidRDefault="00C24A40" w:rsidP="00C24A40">
      <w:pPr>
        <w:pStyle w:val="ListParagraph"/>
        <w:numPr>
          <w:ilvl w:val="0"/>
          <w:numId w:val="5"/>
        </w:numPr>
        <w:autoSpaceDE w:val="0"/>
        <w:autoSpaceDN w:val="0"/>
        <w:adjustRightInd w:val="0"/>
      </w:pPr>
      <w:r w:rsidRPr="009655C9">
        <w:t xml:space="preserve">Low-income </w:t>
      </w:r>
    </w:p>
    <w:p w14:paraId="62AD338C" w14:textId="77777777" w:rsidR="00C24A40" w:rsidRPr="009655C9" w:rsidRDefault="00C24A40" w:rsidP="00C24A40">
      <w:pPr>
        <w:pStyle w:val="ListParagraph"/>
        <w:numPr>
          <w:ilvl w:val="0"/>
          <w:numId w:val="5"/>
        </w:numPr>
        <w:autoSpaceDE w:val="0"/>
        <w:autoSpaceDN w:val="0"/>
        <w:adjustRightInd w:val="0"/>
      </w:pPr>
      <w:r w:rsidRPr="009655C9">
        <w:t xml:space="preserve">Elderly </w:t>
      </w:r>
    </w:p>
    <w:p w14:paraId="299F77F3" w14:textId="77777777" w:rsidR="00C24A40" w:rsidRPr="009655C9" w:rsidRDefault="00C24A40" w:rsidP="00C24A40">
      <w:pPr>
        <w:pStyle w:val="ListParagraph"/>
        <w:numPr>
          <w:ilvl w:val="0"/>
          <w:numId w:val="5"/>
        </w:numPr>
        <w:autoSpaceDE w:val="0"/>
        <w:autoSpaceDN w:val="0"/>
        <w:adjustRightInd w:val="0"/>
      </w:pPr>
      <w:r w:rsidRPr="009655C9">
        <w:t>Disabled populations</w:t>
      </w:r>
    </w:p>
    <w:p w14:paraId="65C962F1" w14:textId="77777777" w:rsidR="00C24A40" w:rsidRDefault="00C24A40" w:rsidP="00C24A40">
      <w:pPr>
        <w:pStyle w:val="ListParagraph"/>
        <w:numPr>
          <w:ilvl w:val="0"/>
          <w:numId w:val="5"/>
        </w:numPr>
        <w:autoSpaceDE w:val="0"/>
        <w:autoSpaceDN w:val="0"/>
        <w:adjustRightInd w:val="0"/>
      </w:pPr>
      <w:r w:rsidRPr="009655C9">
        <w:t>Limited English Proficiency</w:t>
      </w:r>
    </w:p>
    <w:p w14:paraId="20FFD925" w14:textId="77777777" w:rsidR="0078339B" w:rsidRPr="009655C9" w:rsidRDefault="0078339B" w:rsidP="0078339B">
      <w:pPr>
        <w:pStyle w:val="ListParagraph"/>
        <w:autoSpaceDE w:val="0"/>
        <w:autoSpaceDN w:val="0"/>
        <w:adjustRightInd w:val="0"/>
      </w:pPr>
    </w:p>
    <w:p w14:paraId="79E5A432" w14:textId="77777777" w:rsidR="00C24A40" w:rsidRPr="009655C9" w:rsidRDefault="00C24A40" w:rsidP="00C24A40">
      <w:pPr>
        <w:autoSpaceDE w:val="0"/>
        <w:autoSpaceDN w:val="0"/>
        <w:adjustRightInd w:val="0"/>
        <w:rPr>
          <w:b/>
          <w:color w:val="0070C0"/>
        </w:rPr>
      </w:pPr>
      <w:r w:rsidRPr="009655C9">
        <w:rPr>
          <w:b/>
          <w:color w:val="0070C0"/>
        </w:rPr>
        <w:t>Sample Analysis</w:t>
      </w:r>
    </w:p>
    <w:p w14:paraId="79D8FA89" w14:textId="77777777" w:rsidR="00C24A40" w:rsidRPr="009655C9" w:rsidRDefault="00C24A40" w:rsidP="00C24A40">
      <w:pPr>
        <w:autoSpaceDE w:val="0"/>
        <w:autoSpaceDN w:val="0"/>
        <w:adjustRightInd w:val="0"/>
      </w:pPr>
    </w:p>
    <w:p w14:paraId="14105B06" w14:textId="77777777" w:rsidR="00C24A40" w:rsidRPr="009655C9" w:rsidRDefault="00C24A40" w:rsidP="00C24A40">
      <w:pPr>
        <w:autoSpaceDE w:val="0"/>
        <w:autoSpaceDN w:val="0"/>
        <w:adjustRightInd w:val="0"/>
        <w:ind w:left="720"/>
        <w:jc w:val="both"/>
      </w:pPr>
      <w:r w:rsidRPr="009655C9">
        <w:t>The percentage of persons living below the poverty level in Kentucky (18.60%) is significantly higher than that of the United States (14.90%). Poverty levels in Metcalfe County are slightly lower than that of the state with 16.10% of Metcalfe County residents living below the poverty level. CT 9601 has greater levels of poverty than does the county, state and U.S. with 17.90% of persons living below the poverty level. CT 9603 however has a lower level of poverty than Metcalfe County as a whole and the state, with 13.40% of residents living below the poverty.</w:t>
      </w:r>
    </w:p>
    <w:p w14:paraId="5280B564" w14:textId="77777777" w:rsidR="00C24A40" w:rsidRPr="009655C9" w:rsidRDefault="00C24A40" w:rsidP="00C24A40">
      <w:pPr>
        <w:autoSpaceDE w:val="0"/>
        <w:autoSpaceDN w:val="0"/>
        <w:adjustRightInd w:val="0"/>
        <w:jc w:val="center"/>
        <w:rPr>
          <w:b/>
        </w:rPr>
      </w:pPr>
    </w:p>
    <w:p w14:paraId="2EBBB0B8" w14:textId="77777777" w:rsidR="00C24A40" w:rsidRPr="009655C9" w:rsidRDefault="00C24A40" w:rsidP="00C24A40">
      <w:pPr>
        <w:autoSpaceDE w:val="0"/>
        <w:autoSpaceDN w:val="0"/>
        <w:adjustRightInd w:val="0"/>
        <w:ind w:left="720"/>
        <w:jc w:val="both"/>
        <w:rPr>
          <w:b/>
          <w:color w:val="FF0000"/>
        </w:rPr>
      </w:pPr>
      <w:r w:rsidRPr="009655C9">
        <w:rPr>
          <w:b/>
          <w:color w:val="FF0000"/>
        </w:rPr>
        <w:t xml:space="preserve">****The following disclaimer should be included in the document in the Socioeconomic Study methodologies </w:t>
      </w:r>
      <w:proofErr w:type="gramStart"/>
      <w:r w:rsidRPr="009655C9">
        <w:rPr>
          <w:b/>
          <w:color w:val="FF0000"/>
        </w:rPr>
        <w:t>Section:*</w:t>
      </w:r>
      <w:proofErr w:type="gramEnd"/>
      <w:r w:rsidRPr="009655C9">
        <w:rPr>
          <w:b/>
          <w:color w:val="FF0000"/>
        </w:rPr>
        <w:t>***</w:t>
      </w:r>
    </w:p>
    <w:p w14:paraId="71775231" w14:textId="77777777" w:rsidR="00C24A40" w:rsidRPr="009655C9" w:rsidRDefault="00C24A40" w:rsidP="00C24A40">
      <w:pPr>
        <w:autoSpaceDE w:val="0"/>
        <w:autoSpaceDN w:val="0"/>
        <w:adjustRightInd w:val="0"/>
        <w:ind w:left="720"/>
        <w:jc w:val="both"/>
        <w:rPr>
          <w:b/>
          <w:color w:val="FF0000"/>
        </w:rPr>
      </w:pPr>
    </w:p>
    <w:p w14:paraId="0999095B" w14:textId="5CE30EA3" w:rsidR="00C24A40" w:rsidRPr="009655C9" w:rsidRDefault="00C24A40" w:rsidP="00C24A40">
      <w:pPr>
        <w:autoSpaceDE w:val="0"/>
        <w:autoSpaceDN w:val="0"/>
        <w:adjustRightInd w:val="0"/>
        <w:ind w:left="720"/>
        <w:jc w:val="both"/>
        <w:rPr>
          <w:b/>
          <w:color w:val="FF0000"/>
        </w:rPr>
      </w:pPr>
      <w:r w:rsidRPr="009655C9">
        <w:rPr>
          <w:i/>
        </w:rPr>
        <w:t xml:space="preserve">The methodologies used in this planning document are appropriate for identifying possible areas of concern in small urban areas and potential project corridors.  However, during future phases of project development a more detailed and robust analysis </w:t>
      </w:r>
      <w:r w:rsidR="0078339B">
        <w:rPr>
          <w:i/>
        </w:rPr>
        <w:t>may identify</w:t>
      </w:r>
      <w:r w:rsidRPr="009655C9">
        <w:rPr>
          <w:i/>
        </w:rPr>
        <w:t xml:space="preserve"> the potential for impacts to low-income and minority populations.</w:t>
      </w:r>
    </w:p>
    <w:p w14:paraId="4F089CBC" w14:textId="77777777" w:rsidR="00C24A40" w:rsidRPr="009655C9" w:rsidRDefault="00C24A40" w:rsidP="00C24A40">
      <w:pPr>
        <w:autoSpaceDE w:val="0"/>
        <w:autoSpaceDN w:val="0"/>
        <w:adjustRightInd w:val="0"/>
      </w:pPr>
    </w:p>
    <w:p w14:paraId="1871A660" w14:textId="77777777" w:rsidR="00C24A40" w:rsidRPr="009655C9" w:rsidRDefault="00C24A40" w:rsidP="00C24A40">
      <w:pPr>
        <w:autoSpaceDE w:val="0"/>
        <w:autoSpaceDN w:val="0"/>
        <w:adjustRightInd w:val="0"/>
      </w:pPr>
      <w:r w:rsidRPr="009655C9">
        <w:t>A map or shapefile of the alternatives will be provided by the consultant or KYTC to the applicable Area Development District (ADD).  KYTC, in conjunction with the consultant, will review the ADD data for quality and completeness. The consultant will summarize the information provided by the ADD in the final report.  The full Socioeconomic analysis should be placed in an Appendix for reference as necessary</w:t>
      </w:r>
      <w:r>
        <w:t>.</w:t>
      </w:r>
    </w:p>
    <w:p w14:paraId="5B086EB1" w14:textId="77777777" w:rsidR="00C24A40" w:rsidRPr="009655C9" w:rsidRDefault="00C24A40" w:rsidP="00C24A40">
      <w:pPr>
        <w:autoSpaceDE w:val="0"/>
        <w:autoSpaceDN w:val="0"/>
        <w:adjustRightInd w:val="0"/>
      </w:pPr>
      <w:r w:rsidRPr="009655C9">
        <w:rPr>
          <w:noProof/>
        </w:rPr>
        <w:lastRenderedPageBreak/>
        <w:drawing>
          <wp:anchor distT="0" distB="0" distL="114300" distR="114300" simplePos="0" relativeHeight="251659264" behindDoc="0" locked="0" layoutInCell="1" allowOverlap="1" wp14:anchorId="078EBBD3" wp14:editId="09C84D1F">
            <wp:simplePos x="0" y="0"/>
            <wp:positionH relativeFrom="column">
              <wp:posOffset>-28575</wp:posOffset>
            </wp:positionH>
            <wp:positionV relativeFrom="paragraph">
              <wp:posOffset>882015</wp:posOffset>
            </wp:positionV>
            <wp:extent cx="5730240" cy="4362450"/>
            <wp:effectExtent l="19050" t="0" r="3810" b="0"/>
            <wp:wrapSquare wrapText="bothSides"/>
            <wp:docPr id="2" name="Picture 2" descr="C:\Users\CHARLI~1.SPA\AppData\Local\Temp\HS5ClipImage_53206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1.SPA\AppData\Local\Temp\HS5ClipImage_53206a11.jpg"/>
                    <pic:cNvPicPr>
                      <a:picLocks noChangeAspect="1" noChangeArrowheads="1"/>
                    </pic:cNvPicPr>
                  </pic:nvPicPr>
                  <pic:blipFill>
                    <a:blip r:embed="rId5" cstate="print"/>
                    <a:srcRect/>
                    <a:stretch>
                      <a:fillRect/>
                    </a:stretch>
                  </pic:blipFill>
                  <pic:spPr bwMode="auto">
                    <a:xfrm>
                      <a:off x="0" y="0"/>
                      <a:ext cx="5730240" cy="4362450"/>
                    </a:xfrm>
                    <a:prstGeom prst="rect">
                      <a:avLst/>
                    </a:prstGeom>
                    <a:noFill/>
                    <a:ln w="9525">
                      <a:noFill/>
                      <a:miter lim="800000"/>
                      <a:headEnd/>
                      <a:tailEnd/>
                    </a:ln>
                  </pic:spPr>
                </pic:pic>
              </a:graphicData>
            </a:graphic>
          </wp:anchor>
        </w:drawing>
      </w:r>
      <w:r w:rsidRPr="009655C9">
        <w:t xml:space="preserve">Maps should be included with the analysis that depict the project area in relation to the Census tracts and block groups included in the analysis. Maps </w:t>
      </w:r>
      <w:proofErr w:type="gramStart"/>
      <w:r w:rsidRPr="009655C9">
        <w:t>similar to</w:t>
      </w:r>
      <w:proofErr w:type="gramEnd"/>
      <w:r w:rsidRPr="009655C9">
        <w:t xml:space="preserve"> </w:t>
      </w:r>
      <w:r w:rsidRPr="009655C9">
        <w:rPr>
          <w:b/>
        </w:rPr>
        <w:t>Figure 1</w:t>
      </w:r>
      <w:r w:rsidRPr="009655C9">
        <w:t xml:space="preserve"> should be symbolized utilizing and appropriate range dependent on the relevant data being studied.</w:t>
      </w:r>
    </w:p>
    <w:p w14:paraId="6D8B5085" w14:textId="77777777" w:rsidR="00C24A40" w:rsidRPr="009655C9" w:rsidRDefault="00C24A40" w:rsidP="00C24A40">
      <w:pPr>
        <w:autoSpaceDE w:val="0"/>
        <w:autoSpaceDN w:val="0"/>
        <w:adjustRightInd w:val="0"/>
      </w:pPr>
    </w:p>
    <w:p w14:paraId="149CDE74" w14:textId="77777777" w:rsidR="00C24A40" w:rsidRPr="009655C9" w:rsidRDefault="00C24A40" w:rsidP="00C24A40">
      <w:pPr>
        <w:autoSpaceDE w:val="0"/>
        <w:autoSpaceDN w:val="0"/>
        <w:adjustRightInd w:val="0"/>
        <w:rPr>
          <w:b/>
        </w:rPr>
      </w:pPr>
      <w:r w:rsidRPr="009655C9">
        <w:rPr>
          <w:b/>
        </w:rPr>
        <w:t>Figure 1</w:t>
      </w:r>
    </w:p>
    <w:p w14:paraId="610EBD6A" w14:textId="77777777" w:rsidR="00C24A40" w:rsidRPr="009655C9" w:rsidRDefault="00C24A40" w:rsidP="00C24A40">
      <w:pPr>
        <w:autoSpaceDE w:val="0"/>
        <w:autoSpaceDN w:val="0"/>
        <w:adjustRightInd w:val="0"/>
      </w:pPr>
    </w:p>
    <w:p w14:paraId="0D856AF8" w14:textId="77777777" w:rsidR="00C24A40" w:rsidRPr="009655C9" w:rsidRDefault="00C24A40" w:rsidP="00C24A40">
      <w:pPr>
        <w:autoSpaceDE w:val="0"/>
        <w:autoSpaceDN w:val="0"/>
        <w:adjustRightInd w:val="0"/>
        <w:rPr>
          <w:b/>
        </w:rPr>
      </w:pPr>
    </w:p>
    <w:p w14:paraId="52656F4E" w14:textId="77777777" w:rsidR="00C24A40" w:rsidRPr="009655C9" w:rsidRDefault="00C24A40" w:rsidP="00C24A40">
      <w:pPr>
        <w:autoSpaceDE w:val="0"/>
        <w:autoSpaceDN w:val="0"/>
        <w:adjustRightInd w:val="0"/>
        <w:rPr>
          <w:b/>
          <w:color w:val="0070C0"/>
        </w:rPr>
      </w:pPr>
      <w:r w:rsidRPr="009655C9">
        <w:rPr>
          <w:b/>
          <w:color w:val="0070C0"/>
        </w:rPr>
        <w:t>Additional Information</w:t>
      </w:r>
    </w:p>
    <w:p w14:paraId="186BDA8E" w14:textId="77777777" w:rsidR="00C24A40" w:rsidRPr="009655C9" w:rsidRDefault="00C24A40" w:rsidP="00C24A40">
      <w:pPr>
        <w:autoSpaceDE w:val="0"/>
        <w:autoSpaceDN w:val="0"/>
        <w:adjustRightInd w:val="0"/>
        <w:rPr>
          <w:b/>
          <w:color w:val="0070C0"/>
        </w:rPr>
      </w:pPr>
    </w:p>
    <w:p w14:paraId="7CAC3D8B" w14:textId="77777777" w:rsidR="00C24A40" w:rsidRPr="009655C9" w:rsidRDefault="00C24A40" w:rsidP="00C24A40">
      <w:pPr>
        <w:autoSpaceDE w:val="0"/>
        <w:autoSpaceDN w:val="0"/>
        <w:adjustRightInd w:val="0"/>
      </w:pPr>
      <w:r w:rsidRPr="009655C9">
        <w:t>The below information may be beneficial to note for future reference</w:t>
      </w:r>
    </w:p>
    <w:p w14:paraId="76C1F408" w14:textId="77777777" w:rsidR="00C24A40" w:rsidRPr="009655C9" w:rsidRDefault="00C24A40" w:rsidP="00C24A40">
      <w:pPr>
        <w:autoSpaceDE w:val="0"/>
        <w:autoSpaceDN w:val="0"/>
        <w:adjustRightInd w:val="0"/>
      </w:pPr>
    </w:p>
    <w:p w14:paraId="09BBBE89" w14:textId="77777777" w:rsidR="00C24A40" w:rsidRPr="009655C9" w:rsidRDefault="00C24A40" w:rsidP="00C24A40">
      <w:pPr>
        <w:pStyle w:val="ListParagraph"/>
        <w:numPr>
          <w:ilvl w:val="0"/>
          <w:numId w:val="6"/>
        </w:numPr>
        <w:autoSpaceDE w:val="0"/>
        <w:autoSpaceDN w:val="0"/>
        <w:adjustRightInd w:val="0"/>
        <w:jc w:val="both"/>
      </w:pPr>
      <w:r w:rsidRPr="009655C9">
        <w:t xml:space="preserve">Changes due to new residential developments in the area </w:t>
      </w:r>
    </w:p>
    <w:p w14:paraId="02894957" w14:textId="77777777" w:rsidR="00C24A40" w:rsidRPr="009655C9" w:rsidRDefault="00C24A40" w:rsidP="00C24A40">
      <w:pPr>
        <w:pStyle w:val="ListParagraph"/>
        <w:numPr>
          <w:ilvl w:val="0"/>
          <w:numId w:val="6"/>
        </w:numPr>
        <w:autoSpaceDE w:val="0"/>
        <w:autoSpaceDN w:val="0"/>
        <w:adjustRightInd w:val="0"/>
        <w:jc w:val="both"/>
      </w:pPr>
      <w:r w:rsidRPr="009655C9">
        <w:t>Increases in Asian and/or Hispanic populations.</w:t>
      </w:r>
    </w:p>
    <w:p w14:paraId="67CF5197" w14:textId="77777777" w:rsidR="00C24A40" w:rsidRPr="009655C9" w:rsidRDefault="00C24A40" w:rsidP="00C24A40">
      <w:pPr>
        <w:pStyle w:val="ListParagraph"/>
        <w:numPr>
          <w:ilvl w:val="0"/>
          <w:numId w:val="6"/>
        </w:numPr>
        <w:autoSpaceDE w:val="0"/>
        <w:autoSpaceDN w:val="0"/>
        <w:adjustRightInd w:val="0"/>
        <w:jc w:val="both"/>
      </w:pPr>
      <w:r w:rsidRPr="009655C9">
        <w:t>Concentrations or communities that share a common religious, cultural, ethnic, or other background, e.g., Amish communities.</w:t>
      </w:r>
    </w:p>
    <w:p w14:paraId="1779F689" w14:textId="77777777" w:rsidR="00C24A40" w:rsidRPr="009655C9" w:rsidRDefault="00C24A40" w:rsidP="00C24A40">
      <w:pPr>
        <w:pStyle w:val="ListParagraph"/>
        <w:numPr>
          <w:ilvl w:val="0"/>
          <w:numId w:val="3"/>
        </w:numPr>
        <w:autoSpaceDE w:val="0"/>
        <w:autoSpaceDN w:val="0"/>
        <w:adjustRightInd w:val="0"/>
        <w:jc w:val="both"/>
      </w:pPr>
      <w:r w:rsidRPr="009655C9">
        <w:t>Communities or neighborhoods that exhibit a high degree of community cohesion or interaction and the ability to mobilize community actions at the start of community involvement.</w:t>
      </w:r>
    </w:p>
    <w:p w14:paraId="3CF3A6BC" w14:textId="77777777" w:rsidR="00C24A40" w:rsidRPr="009655C9" w:rsidRDefault="00C24A40" w:rsidP="00C24A40">
      <w:pPr>
        <w:pStyle w:val="ListParagraph"/>
        <w:numPr>
          <w:ilvl w:val="0"/>
          <w:numId w:val="3"/>
        </w:numPr>
        <w:autoSpaceDE w:val="0"/>
        <w:autoSpaceDN w:val="0"/>
        <w:adjustRightInd w:val="0"/>
        <w:jc w:val="both"/>
      </w:pPr>
      <w:r w:rsidRPr="009655C9">
        <w:t>Concentrations of common employment, religious centers, and/or educational</w:t>
      </w:r>
    </w:p>
    <w:p w14:paraId="6A504047" w14:textId="77777777" w:rsidR="00C24A40" w:rsidRPr="009655C9" w:rsidRDefault="00C24A40" w:rsidP="00C24A40">
      <w:pPr>
        <w:autoSpaceDE w:val="0"/>
        <w:autoSpaceDN w:val="0"/>
        <w:adjustRightInd w:val="0"/>
        <w:ind w:firstLine="720"/>
        <w:jc w:val="both"/>
      </w:pPr>
      <w:r w:rsidRPr="009655C9">
        <w:t>Institutions.</w:t>
      </w:r>
    </w:p>
    <w:p w14:paraId="23BED6A9" w14:textId="77777777" w:rsidR="00C24A40" w:rsidRPr="009655C9" w:rsidRDefault="00C24A40" w:rsidP="00C24A40">
      <w:pPr>
        <w:autoSpaceDE w:val="0"/>
        <w:autoSpaceDN w:val="0"/>
        <w:adjustRightInd w:val="0"/>
        <w:jc w:val="both"/>
        <w:rPr>
          <w:b/>
          <w:bCs/>
        </w:rPr>
      </w:pPr>
    </w:p>
    <w:p w14:paraId="6B3DD654" w14:textId="77777777" w:rsidR="00C24A40" w:rsidRPr="009655C9" w:rsidRDefault="00C24A40" w:rsidP="00C24A40">
      <w:pPr>
        <w:autoSpaceDE w:val="0"/>
        <w:autoSpaceDN w:val="0"/>
        <w:adjustRightInd w:val="0"/>
        <w:rPr>
          <w:b/>
          <w:bCs/>
          <w:color w:val="0070C0"/>
        </w:rPr>
      </w:pPr>
      <w:r w:rsidRPr="009655C9">
        <w:rPr>
          <w:b/>
          <w:bCs/>
          <w:color w:val="0070C0"/>
        </w:rPr>
        <w:t>Tips</w:t>
      </w:r>
    </w:p>
    <w:p w14:paraId="3E54328D" w14:textId="77777777" w:rsidR="00C24A40" w:rsidRPr="009655C9" w:rsidRDefault="00C24A40" w:rsidP="00C24A40">
      <w:pPr>
        <w:autoSpaceDE w:val="0"/>
        <w:autoSpaceDN w:val="0"/>
        <w:adjustRightInd w:val="0"/>
        <w:rPr>
          <w:b/>
          <w:bCs/>
        </w:rPr>
      </w:pPr>
    </w:p>
    <w:p w14:paraId="3F242390" w14:textId="77777777" w:rsidR="00C24A40" w:rsidRPr="009655C9" w:rsidRDefault="00C24A40" w:rsidP="00C24A40">
      <w:pPr>
        <w:pStyle w:val="ListParagraph"/>
        <w:numPr>
          <w:ilvl w:val="0"/>
          <w:numId w:val="3"/>
        </w:numPr>
        <w:autoSpaceDE w:val="0"/>
        <w:autoSpaceDN w:val="0"/>
        <w:adjustRightInd w:val="0"/>
        <w:jc w:val="both"/>
        <w:rPr>
          <w:bCs/>
        </w:rPr>
      </w:pPr>
      <w:r w:rsidRPr="009655C9">
        <w:rPr>
          <w:bCs/>
        </w:rPr>
        <w:t xml:space="preserve">Only include data that is being analyzed. For </w:t>
      </w:r>
      <w:proofErr w:type="gramStart"/>
      <w:r w:rsidRPr="009655C9">
        <w:rPr>
          <w:bCs/>
        </w:rPr>
        <w:t>instance</w:t>
      </w:r>
      <w:proofErr w:type="gramEnd"/>
      <w:r w:rsidRPr="009655C9">
        <w:rPr>
          <w:bCs/>
        </w:rPr>
        <w:t xml:space="preserve"> there is no need to define Block Groups if they are not used. Similarly, Census Tracts should only be referenced as they relate to location of Block Groups discussed.</w:t>
      </w:r>
    </w:p>
    <w:p w14:paraId="68752B12" w14:textId="77777777" w:rsidR="00C24A40" w:rsidRPr="009655C9" w:rsidRDefault="00C24A40" w:rsidP="00C24A40">
      <w:pPr>
        <w:pStyle w:val="ListParagraph"/>
        <w:numPr>
          <w:ilvl w:val="0"/>
          <w:numId w:val="3"/>
        </w:numPr>
        <w:autoSpaceDE w:val="0"/>
        <w:autoSpaceDN w:val="0"/>
        <w:adjustRightInd w:val="0"/>
        <w:jc w:val="both"/>
        <w:rPr>
          <w:bCs/>
        </w:rPr>
      </w:pPr>
      <w:r w:rsidRPr="009655C9">
        <w:rPr>
          <w:bCs/>
        </w:rPr>
        <w:t>Choropleth maps (shaded, color gradation) should be developed based on population percentage.</w:t>
      </w:r>
    </w:p>
    <w:p w14:paraId="7202309F" w14:textId="77777777" w:rsidR="00C24A40" w:rsidRPr="009655C9" w:rsidRDefault="00C24A40" w:rsidP="00C24A40">
      <w:pPr>
        <w:pStyle w:val="ListParagraph"/>
        <w:numPr>
          <w:ilvl w:val="0"/>
          <w:numId w:val="3"/>
        </w:numPr>
        <w:autoSpaceDE w:val="0"/>
        <w:autoSpaceDN w:val="0"/>
        <w:adjustRightInd w:val="0"/>
        <w:jc w:val="both"/>
        <w:rPr>
          <w:bCs/>
        </w:rPr>
      </w:pPr>
      <w:r w:rsidRPr="009655C9">
        <w:rPr>
          <w:bCs/>
        </w:rPr>
        <w:t xml:space="preserve">One page summary facing the adjacent related map is a functional, readily relatable format. </w:t>
      </w:r>
    </w:p>
    <w:p w14:paraId="591030DB" w14:textId="77777777" w:rsidR="00C24A40" w:rsidRPr="009655C9" w:rsidRDefault="00C24A40" w:rsidP="00C24A40">
      <w:pPr>
        <w:pStyle w:val="ListParagraph"/>
        <w:numPr>
          <w:ilvl w:val="0"/>
          <w:numId w:val="3"/>
        </w:numPr>
        <w:autoSpaceDE w:val="0"/>
        <w:autoSpaceDN w:val="0"/>
        <w:adjustRightInd w:val="0"/>
        <w:jc w:val="both"/>
        <w:rPr>
          <w:bCs/>
        </w:rPr>
      </w:pPr>
      <w:r w:rsidRPr="009655C9">
        <w:rPr>
          <w:bCs/>
        </w:rPr>
        <w:t>At this stage there is no proposed alignment, therefore we can make no assumptions regarding adverse impacts or mitigation efforts to any populations. We can only identify potential locations of Affected Communities.</w:t>
      </w:r>
    </w:p>
    <w:p w14:paraId="5D2F2D61" w14:textId="77777777" w:rsidR="00C24A40" w:rsidRPr="009655C9" w:rsidRDefault="00C24A40" w:rsidP="00C24A40">
      <w:pPr>
        <w:pStyle w:val="ListParagraph"/>
        <w:autoSpaceDE w:val="0"/>
        <w:autoSpaceDN w:val="0"/>
        <w:adjustRightInd w:val="0"/>
        <w:rPr>
          <w:bCs/>
        </w:rPr>
      </w:pPr>
    </w:p>
    <w:p w14:paraId="75ECCAAF" w14:textId="77777777" w:rsidR="00C24A40" w:rsidRPr="009655C9" w:rsidRDefault="00C24A40" w:rsidP="00C24A40">
      <w:pPr>
        <w:autoSpaceDE w:val="0"/>
        <w:autoSpaceDN w:val="0"/>
        <w:adjustRightInd w:val="0"/>
        <w:rPr>
          <w:b/>
        </w:rPr>
      </w:pPr>
    </w:p>
    <w:p w14:paraId="1828A3B9" w14:textId="77777777" w:rsidR="00C24A40" w:rsidRPr="009655C9" w:rsidRDefault="00C24A40" w:rsidP="00C24A40">
      <w:pPr>
        <w:autoSpaceDE w:val="0"/>
        <w:autoSpaceDN w:val="0"/>
        <w:adjustRightInd w:val="0"/>
        <w:rPr>
          <w:b/>
          <w:color w:val="0070C0"/>
        </w:rPr>
      </w:pPr>
      <w:r w:rsidRPr="009655C9">
        <w:rPr>
          <w:b/>
          <w:color w:val="0070C0"/>
        </w:rPr>
        <w:t>Applicable Laws, Acts and Executive Orders</w:t>
      </w:r>
      <w:bookmarkStart w:id="0" w:name="_Toc79833151"/>
      <w:bookmarkStart w:id="1" w:name="_Toc80168994"/>
      <w:bookmarkStart w:id="2" w:name="_Toc83457101"/>
      <w:bookmarkStart w:id="3" w:name="_Toc85953754"/>
      <w:bookmarkStart w:id="4" w:name="_Toc85964984"/>
      <w:bookmarkStart w:id="5" w:name="_Toc86030320"/>
      <w:bookmarkStart w:id="6" w:name="_Ref148955337"/>
      <w:bookmarkStart w:id="7" w:name="_Toc152660897"/>
    </w:p>
    <w:p w14:paraId="6A1DA554" w14:textId="77777777" w:rsidR="00C24A40" w:rsidRPr="009655C9" w:rsidRDefault="00C24A40" w:rsidP="00C24A40">
      <w:pPr>
        <w:autoSpaceDE w:val="0"/>
        <w:autoSpaceDN w:val="0"/>
        <w:adjustRightInd w:val="0"/>
        <w:rPr>
          <w:b/>
          <w:color w:val="0070C0"/>
        </w:rPr>
      </w:pPr>
    </w:p>
    <w:p w14:paraId="0E5C7F67" w14:textId="77777777" w:rsidR="00C24A40" w:rsidRPr="009655C9" w:rsidRDefault="00C24A40" w:rsidP="00C24A40">
      <w:r w:rsidRPr="009655C9">
        <w:rPr>
          <w:b/>
          <w:color w:val="2C7FCE" w:themeColor="text2" w:themeTint="99"/>
        </w:rPr>
        <w:t>Civil Rights Act of 1964, Title VI (42 USC 2000d</w:t>
      </w:r>
      <w:bookmarkEnd w:id="0"/>
      <w:bookmarkEnd w:id="1"/>
      <w:bookmarkEnd w:id="2"/>
      <w:bookmarkEnd w:id="3"/>
      <w:bookmarkEnd w:id="4"/>
      <w:bookmarkEnd w:id="5"/>
      <w:r w:rsidRPr="009655C9">
        <w:rPr>
          <w:b/>
          <w:color w:val="2C7FCE" w:themeColor="text2" w:themeTint="99"/>
        </w:rPr>
        <w:t xml:space="preserve"> et seq.)</w:t>
      </w:r>
      <w:bookmarkEnd w:id="6"/>
      <w:bookmarkEnd w:id="7"/>
      <w:r w:rsidRPr="009655C9">
        <w:rPr>
          <w:color w:val="156082" w:themeColor="accent1"/>
        </w:rPr>
        <w:t xml:space="preserve"> </w:t>
      </w:r>
      <w:r w:rsidRPr="009655C9">
        <w:t xml:space="preserve">– This title declares it to be the policy of the United States that discrimination on the grounds of race, color, or national origin shall not occur in connection with programs and activities receiving federal financial </w:t>
      </w:r>
      <w:proofErr w:type="gramStart"/>
      <w:r w:rsidRPr="009655C9">
        <w:t>assistance, and</w:t>
      </w:r>
      <w:proofErr w:type="gramEnd"/>
      <w:r w:rsidRPr="009655C9">
        <w:t xml:space="preserve"> authorizes and directs the appropriate federal departments and agencies to take action to carry out this policy.  The Presidential Memorandum accompanying Executive Order 12898 states that in accordance with this title, each federal agency should ensure that all programs or activities receiving federal financial assistance that affect human </w:t>
      </w:r>
      <w:proofErr w:type="gramStart"/>
      <w:r w:rsidRPr="009655C9">
        <w:t>health</w:t>
      </w:r>
      <w:proofErr w:type="gramEnd"/>
      <w:r w:rsidRPr="009655C9">
        <w:t xml:space="preserve"> or the environment do not directly, or through contractual or other arrangements, use criteria, methods, or practices that discriminate on the basis of race, color, or national origin. </w:t>
      </w:r>
    </w:p>
    <w:p w14:paraId="0D905DE0" w14:textId="77777777" w:rsidR="00C24A40" w:rsidRPr="009655C9" w:rsidRDefault="00C24A40" w:rsidP="00C24A40">
      <w:pPr>
        <w:spacing w:before="100" w:beforeAutospacing="1" w:after="100" w:afterAutospacing="1"/>
        <w:jc w:val="both"/>
      </w:pPr>
      <w:r w:rsidRPr="009655C9">
        <w:rPr>
          <w:b/>
          <w:color w:val="2C7FCE" w:themeColor="text2" w:themeTint="99"/>
        </w:rPr>
        <w:t>Age Discrimination Act of 1975 - 42 U.S.C. 6101</w:t>
      </w:r>
      <w:r w:rsidRPr="009655C9">
        <w:t xml:space="preserve">, provides: No person in the United States shall, </w:t>
      </w:r>
      <w:proofErr w:type="gramStart"/>
      <w:r w:rsidRPr="009655C9">
        <w:t>on the basis of</w:t>
      </w:r>
      <w:proofErr w:type="gramEnd"/>
      <w:r w:rsidRPr="009655C9">
        <w:t xml:space="preserve"> age, be excluded from participation in, be denied the benefits of, or be subjected to discrimination under any program or activity receiving Federal financial assistance.</w:t>
      </w:r>
    </w:p>
    <w:p w14:paraId="766E0A7A" w14:textId="77777777" w:rsidR="00C24A40" w:rsidRPr="009655C9" w:rsidRDefault="00C24A40" w:rsidP="00C24A40">
      <w:pPr>
        <w:spacing w:before="100" w:beforeAutospacing="1" w:after="100" w:afterAutospacing="1"/>
        <w:jc w:val="both"/>
      </w:pPr>
      <w:r w:rsidRPr="009655C9">
        <w:rPr>
          <w:b/>
          <w:color w:val="2C7FCE" w:themeColor="text2" w:themeTint="99"/>
        </w:rPr>
        <w:t>Rehabilitation Act of 1973, Section 504 - 42 U.S.C. 794, et seq</w:t>
      </w:r>
      <w:r w:rsidRPr="009655C9">
        <w:rPr>
          <w:color w:val="2C7FCE" w:themeColor="text2" w:themeTint="99"/>
        </w:rPr>
        <w:t>.</w:t>
      </w:r>
      <w:r w:rsidRPr="009655C9">
        <w:rPr>
          <w:color w:val="0070C0"/>
        </w:rPr>
        <w:t>,</w:t>
      </w:r>
      <w:r w:rsidRPr="009655C9">
        <w:t xml:space="preserve"> provides: No qualified handicapped person shall, solely by reason of his handicap, be excluded from participation in, be denied the benefits of, be subjected to discrimination under any program or activity that receives or benefits from Federal financial assistance.</w:t>
      </w:r>
    </w:p>
    <w:p w14:paraId="7694DBAF" w14:textId="77777777" w:rsidR="00C24A40" w:rsidRPr="009655C9" w:rsidRDefault="00C24A40" w:rsidP="00C24A40">
      <w:pPr>
        <w:spacing w:before="100" w:beforeAutospacing="1" w:after="100" w:afterAutospacing="1"/>
        <w:jc w:val="both"/>
      </w:pPr>
      <w:r w:rsidRPr="009655C9">
        <w:rPr>
          <w:b/>
          <w:color w:val="2C7FCE" w:themeColor="text2" w:themeTint="99"/>
        </w:rPr>
        <w:t>Americans With Disabilities Act of 1990 - 42 U.S.C. 12131, et seq</w:t>
      </w:r>
      <w:r w:rsidRPr="009655C9">
        <w:rPr>
          <w:color w:val="2C7FCE" w:themeColor="text2" w:themeTint="99"/>
        </w:rPr>
        <w:t>.</w:t>
      </w:r>
      <w:r w:rsidRPr="009655C9">
        <w:rPr>
          <w:color w:val="0070C0"/>
        </w:rPr>
        <w:t>,</w:t>
      </w:r>
      <w:r w:rsidRPr="009655C9">
        <w:t xml:space="preserve"> provides: No qualified individual with a disability shall, by reason of such disability, be excluded from the participation in, be denied the benefits of, or be subjected to discrimination by a department, agency, special purpose district, or other instrumentality of a State or local government.</w:t>
      </w:r>
    </w:p>
    <w:p w14:paraId="47BCC208" w14:textId="77777777" w:rsidR="00C24A40" w:rsidRPr="00422493" w:rsidRDefault="00C24A40" w:rsidP="00C24A40">
      <w:pPr>
        <w:jc w:val="both"/>
        <w:rPr>
          <w:highlight w:val="yellow"/>
        </w:rPr>
      </w:pPr>
    </w:p>
    <w:p w14:paraId="2F6C97AE" w14:textId="77777777" w:rsidR="00C24A40" w:rsidRPr="009655C9" w:rsidRDefault="00C24A40" w:rsidP="00C24A40">
      <w:pPr>
        <w:jc w:val="both"/>
        <w:rPr>
          <w:b/>
        </w:rPr>
      </w:pPr>
      <w:r w:rsidRPr="0078339B">
        <w:rPr>
          <w:b/>
          <w:color w:val="2C7FCE" w:themeColor="text2" w:themeTint="99"/>
        </w:rPr>
        <w:lastRenderedPageBreak/>
        <w:t>Executive Order #13166</w:t>
      </w:r>
      <w:r w:rsidRPr="0078339B">
        <w:t xml:space="preserve"> - (Limited-English-Proficiency) directs federal agencies to evaluate services provided and implement a system that ensures that Limited English Proficiency persons </w:t>
      </w:r>
      <w:proofErr w:type="gramStart"/>
      <w:r w:rsidRPr="0078339B">
        <w:t>are able to</w:t>
      </w:r>
      <w:proofErr w:type="gramEnd"/>
      <w:r w:rsidRPr="0078339B">
        <w:t xml:space="preserve"> meaningfully access the services provided consistent with and without unduly burdening the fundamental mission of each federal agency.</w:t>
      </w:r>
    </w:p>
    <w:p w14:paraId="7B862AE4" w14:textId="77777777" w:rsidR="00C24A40" w:rsidRDefault="00C24A40" w:rsidP="00C24A40">
      <w:pPr>
        <w:spacing w:after="160"/>
        <w:rPr>
          <w:b/>
          <w:sz w:val="32"/>
          <w:szCs w:val="32"/>
        </w:rPr>
      </w:pPr>
    </w:p>
    <w:p w14:paraId="652872B9" w14:textId="77777777" w:rsidR="00C24A40" w:rsidRPr="009655C9" w:rsidRDefault="00C24A40" w:rsidP="00C24A40">
      <w:pPr>
        <w:spacing w:after="160"/>
        <w:jc w:val="center"/>
        <w:rPr>
          <w:b/>
          <w:sz w:val="32"/>
          <w:szCs w:val="32"/>
        </w:rPr>
      </w:pPr>
      <w:r w:rsidRPr="009655C9">
        <w:rPr>
          <w:b/>
          <w:sz w:val="32"/>
          <w:szCs w:val="32"/>
        </w:rPr>
        <w:t>Socioeconomic Report Checklist</w:t>
      </w:r>
    </w:p>
    <w:p w14:paraId="6A6FCE12" w14:textId="77777777" w:rsidR="00C24A40" w:rsidRDefault="00C24A40" w:rsidP="00C24A40">
      <w:pPr>
        <w:pStyle w:val="ListParagraph"/>
        <w:spacing w:after="160"/>
        <w:ind w:left="1080"/>
        <w:jc w:val="both"/>
        <w:rPr>
          <w:sz w:val="22"/>
          <w:szCs w:val="22"/>
        </w:rPr>
      </w:pPr>
    </w:p>
    <w:tbl>
      <w:tblPr>
        <w:tblW w:w="5000" w:type="pct"/>
        <w:tblLook w:val="04A0" w:firstRow="1" w:lastRow="0" w:firstColumn="1" w:lastColumn="0" w:noHBand="0" w:noVBand="1"/>
      </w:tblPr>
      <w:tblGrid>
        <w:gridCol w:w="428"/>
        <w:gridCol w:w="2173"/>
        <w:gridCol w:w="3847"/>
        <w:gridCol w:w="2902"/>
      </w:tblGrid>
      <w:tr w:rsidR="00C24A40" w:rsidRPr="00C24A40" w14:paraId="5D532D78" w14:textId="77777777" w:rsidTr="00C24A40">
        <w:trPr>
          <w:trHeight w:val="1013"/>
        </w:trPr>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0E57DAA" w14:textId="77777777" w:rsidR="00C24A40" w:rsidRPr="00C24A40" w:rsidRDefault="00C24A40" w:rsidP="00C24A40">
            <w:pPr>
              <w:jc w:val="right"/>
              <w:rPr>
                <w:rFonts w:eastAsia="Calibri"/>
                <w:color w:val="000000"/>
                <w:sz w:val="22"/>
                <w:szCs w:val="22"/>
              </w:rPr>
            </w:pPr>
            <w:r w:rsidRPr="00C24A40">
              <w:rPr>
                <w:rFonts w:eastAsia="Calibri"/>
                <w:color w:val="000000"/>
                <w:sz w:val="22"/>
                <w:szCs w:val="22"/>
              </w:rPr>
              <w:t>COMPLETE</w:t>
            </w:r>
          </w:p>
        </w:tc>
        <w:tc>
          <w:tcPr>
            <w:tcW w:w="624" w:type="pct"/>
            <w:tcBorders>
              <w:top w:val="single" w:sz="4" w:space="0" w:color="auto"/>
              <w:left w:val="nil"/>
              <w:bottom w:val="single" w:sz="4" w:space="0" w:color="auto"/>
              <w:right w:val="single" w:sz="4" w:space="0" w:color="auto"/>
            </w:tcBorders>
            <w:shd w:val="clear" w:color="auto" w:fill="auto"/>
            <w:noWrap/>
            <w:vAlign w:val="bottom"/>
            <w:hideMark/>
          </w:tcPr>
          <w:p w14:paraId="2F12D0E7" w14:textId="77777777" w:rsidR="00C24A40" w:rsidRPr="00C24A40" w:rsidRDefault="00C24A40" w:rsidP="00C24A40">
            <w:pPr>
              <w:rPr>
                <w:rFonts w:eastAsia="Calibri"/>
                <w:color w:val="000000"/>
                <w:sz w:val="22"/>
                <w:szCs w:val="22"/>
              </w:rPr>
            </w:pPr>
            <w:r w:rsidRPr="00C24A40">
              <w:rPr>
                <w:rFonts w:eastAsia="Calibri"/>
                <w:color w:val="000000"/>
                <w:sz w:val="22"/>
                <w:szCs w:val="22"/>
              </w:rPr>
              <w:t>TASK</w:t>
            </w:r>
          </w:p>
        </w:tc>
        <w:tc>
          <w:tcPr>
            <w:tcW w:w="1948" w:type="pct"/>
            <w:tcBorders>
              <w:top w:val="single" w:sz="4" w:space="0" w:color="auto"/>
              <w:left w:val="nil"/>
              <w:bottom w:val="single" w:sz="4" w:space="0" w:color="auto"/>
              <w:right w:val="nil"/>
            </w:tcBorders>
            <w:shd w:val="clear" w:color="auto" w:fill="auto"/>
            <w:noWrap/>
            <w:vAlign w:val="bottom"/>
            <w:hideMark/>
          </w:tcPr>
          <w:p w14:paraId="7FE5085A" w14:textId="77777777" w:rsidR="00C24A40" w:rsidRPr="00C24A40" w:rsidRDefault="00C24A40" w:rsidP="00C24A40">
            <w:pPr>
              <w:rPr>
                <w:rFonts w:eastAsia="Calibri"/>
                <w:color w:val="000000"/>
                <w:sz w:val="22"/>
                <w:szCs w:val="22"/>
              </w:rPr>
            </w:pPr>
            <w:r w:rsidRPr="00C24A40">
              <w:rPr>
                <w:rFonts w:eastAsia="Calibri"/>
                <w:color w:val="000000"/>
                <w:sz w:val="22"/>
                <w:szCs w:val="22"/>
              </w:rPr>
              <w:t>GUIDANCE</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7E6E1E" w14:textId="77777777" w:rsidR="00C24A40" w:rsidRPr="00C24A40" w:rsidRDefault="00C24A40" w:rsidP="00C24A40">
            <w:pPr>
              <w:rPr>
                <w:rFonts w:eastAsia="Calibri"/>
                <w:color w:val="000000"/>
                <w:sz w:val="22"/>
                <w:szCs w:val="22"/>
              </w:rPr>
            </w:pPr>
            <w:r w:rsidRPr="00C24A40">
              <w:rPr>
                <w:rFonts w:eastAsia="Calibri"/>
                <w:color w:val="000000"/>
                <w:sz w:val="22"/>
                <w:szCs w:val="22"/>
              </w:rPr>
              <w:t>RESOURCES</w:t>
            </w:r>
          </w:p>
        </w:tc>
      </w:tr>
      <w:tr w:rsidR="00C24A40" w:rsidRPr="00C24A40" w14:paraId="61689B84" w14:textId="77777777" w:rsidTr="00C24A40">
        <w:trPr>
          <w:trHeight w:val="281"/>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0433C0"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bottom"/>
            <w:hideMark/>
          </w:tcPr>
          <w:p w14:paraId="4B4240D0" w14:textId="77777777" w:rsidR="00C24A40" w:rsidRPr="00C24A40" w:rsidRDefault="00C24A40" w:rsidP="00C24A40">
            <w:pPr>
              <w:rPr>
                <w:rFonts w:eastAsia="Calibri"/>
                <w:color w:val="000000"/>
                <w:sz w:val="22"/>
                <w:szCs w:val="22"/>
              </w:rPr>
            </w:pPr>
            <w:r w:rsidRPr="00C24A40">
              <w:rPr>
                <w:rFonts w:eastAsia="Calibri"/>
                <w:color w:val="000000"/>
                <w:sz w:val="22"/>
                <w:szCs w:val="22"/>
              </w:rPr>
              <w:t>Create Cover Page</w:t>
            </w:r>
          </w:p>
        </w:tc>
        <w:tc>
          <w:tcPr>
            <w:tcW w:w="1948" w:type="pct"/>
            <w:tcBorders>
              <w:top w:val="nil"/>
              <w:left w:val="nil"/>
              <w:bottom w:val="single" w:sz="4" w:space="0" w:color="auto"/>
              <w:right w:val="nil"/>
            </w:tcBorders>
            <w:shd w:val="clear" w:color="auto" w:fill="auto"/>
            <w:noWrap/>
            <w:vAlign w:val="bottom"/>
            <w:hideMark/>
          </w:tcPr>
          <w:p w14:paraId="47BD5343" w14:textId="77777777" w:rsidR="00C24A40" w:rsidRPr="00C24A40" w:rsidRDefault="00C24A40" w:rsidP="00C24A40">
            <w:pPr>
              <w:rPr>
                <w:rFonts w:eastAsia="Calibri"/>
                <w:color w:val="000000"/>
                <w:sz w:val="22"/>
                <w:szCs w:val="22"/>
              </w:rPr>
            </w:pPr>
            <w:r w:rsidRPr="00C24A40">
              <w:rPr>
                <w:rFonts w:eastAsia="Calibri"/>
                <w:color w:val="000000"/>
                <w:sz w:val="22"/>
                <w:szCs w:val="22"/>
              </w:rPr>
              <w:t>Study Name; Date; Prepared For; Prepared By</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45301A2A" w14:textId="77777777" w:rsidR="00C24A40" w:rsidRPr="00C24A40" w:rsidRDefault="00C24A40" w:rsidP="00C24A40">
            <w:pPr>
              <w:rPr>
                <w:rFonts w:eastAsia="Calibri"/>
                <w:color w:val="000000"/>
                <w:sz w:val="22"/>
                <w:szCs w:val="22"/>
              </w:rPr>
            </w:pPr>
            <w:r w:rsidRPr="00C24A40">
              <w:rPr>
                <w:rFonts w:eastAsia="Calibri"/>
                <w:color w:val="000000"/>
                <w:sz w:val="22"/>
                <w:szCs w:val="22"/>
              </w:rPr>
              <w:t>See Example Socioeconomic Reports - Provided by KYTC</w:t>
            </w:r>
          </w:p>
        </w:tc>
      </w:tr>
      <w:tr w:rsidR="00C24A40" w:rsidRPr="00C24A40" w14:paraId="15B59EC8" w14:textId="77777777" w:rsidTr="00C24A40">
        <w:trPr>
          <w:trHeight w:val="1407"/>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230421"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center"/>
            <w:hideMark/>
          </w:tcPr>
          <w:p w14:paraId="2B620C0E" w14:textId="77777777" w:rsidR="00C24A40" w:rsidRPr="00C24A40" w:rsidRDefault="00C24A40" w:rsidP="00C24A40">
            <w:pPr>
              <w:rPr>
                <w:rFonts w:eastAsia="Calibri"/>
                <w:color w:val="000000"/>
                <w:sz w:val="22"/>
                <w:szCs w:val="22"/>
              </w:rPr>
            </w:pPr>
            <w:r w:rsidRPr="00C24A40">
              <w:rPr>
                <w:rFonts w:eastAsia="Calibri"/>
                <w:color w:val="000000"/>
                <w:sz w:val="22"/>
                <w:szCs w:val="22"/>
              </w:rPr>
              <w:t>Create Table of Contents</w:t>
            </w:r>
          </w:p>
        </w:tc>
        <w:tc>
          <w:tcPr>
            <w:tcW w:w="1948" w:type="pct"/>
            <w:tcBorders>
              <w:top w:val="nil"/>
              <w:left w:val="nil"/>
              <w:bottom w:val="single" w:sz="4" w:space="0" w:color="auto"/>
              <w:right w:val="nil"/>
            </w:tcBorders>
            <w:shd w:val="clear" w:color="auto" w:fill="auto"/>
            <w:vAlign w:val="bottom"/>
            <w:hideMark/>
          </w:tcPr>
          <w:p w14:paraId="6B75330D" w14:textId="77777777" w:rsidR="00C24A40" w:rsidRPr="00C24A40" w:rsidRDefault="00C24A40" w:rsidP="00C24A40">
            <w:pPr>
              <w:rPr>
                <w:rFonts w:eastAsia="Calibri"/>
                <w:color w:val="000000"/>
                <w:sz w:val="22"/>
                <w:szCs w:val="22"/>
              </w:rPr>
            </w:pPr>
            <w:proofErr w:type="gramStart"/>
            <w:r w:rsidRPr="00C24A40">
              <w:rPr>
                <w:rFonts w:eastAsia="Calibri"/>
                <w:color w:val="000000"/>
                <w:sz w:val="22"/>
                <w:szCs w:val="22"/>
              </w:rPr>
              <w:t>Introduction;;</w:t>
            </w:r>
            <w:proofErr w:type="gramEnd"/>
            <w:r w:rsidRPr="00C24A40">
              <w:rPr>
                <w:rFonts w:eastAsia="Calibri"/>
                <w:color w:val="000000"/>
                <w:sz w:val="22"/>
                <w:szCs w:val="22"/>
              </w:rPr>
              <w:t xml:space="preserve"> Definitions; Methodology; Census Data Analysis; Study Findings; Census Tract Maps; Census Track Tables; Block Group Maps; Block Group Tables; Conclusion</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0A345BE2"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r>
      <w:tr w:rsidR="00C24A40" w:rsidRPr="00C24A40" w14:paraId="35B67228" w14:textId="77777777" w:rsidTr="00C24A40">
        <w:trPr>
          <w:trHeight w:val="464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99228A"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center"/>
            <w:hideMark/>
          </w:tcPr>
          <w:p w14:paraId="54CEF7B3" w14:textId="77777777" w:rsidR="00C24A40" w:rsidRPr="00C24A40" w:rsidRDefault="00C24A40" w:rsidP="00C24A40">
            <w:pPr>
              <w:rPr>
                <w:rFonts w:eastAsia="Calibri"/>
                <w:color w:val="000000"/>
                <w:sz w:val="22"/>
                <w:szCs w:val="22"/>
              </w:rPr>
            </w:pPr>
            <w:r w:rsidRPr="00C24A40">
              <w:rPr>
                <w:rFonts w:eastAsia="Calibri"/>
                <w:color w:val="000000"/>
                <w:sz w:val="22"/>
                <w:szCs w:val="22"/>
              </w:rPr>
              <w:t>Introduction</w:t>
            </w:r>
          </w:p>
        </w:tc>
        <w:tc>
          <w:tcPr>
            <w:tcW w:w="1948" w:type="pct"/>
            <w:tcBorders>
              <w:top w:val="nil"/>
              <w:left w:val="nil"/>
              <w:bottom w:val="single" w:sz="4" w:space="0" w:color="auto"/>
              <w:right w:val="nil"/>
            </w:tcBorders>
            <w:shd w:val="clear" w:color="auto" w:fill="auto"/>
            <w:vAlign w:val="bottom"/>
            <w:hideMark/>
          </w:tcPr>
          <w:p w14:paraId="230179B4" w14:textId="77777777" w:rsidR="00C24A40" w:rsidRPr="00C24A40" w:rsidRDefault="00C24A40" w:rsidP="00C24A40">
            <w:pPr>
              <w:rPr>
                <w:rFonts w:eastAsia="Calibri"/>
                <w:color w:val="000000"/>
                <w:sz w:val="22"/>
                <w:szCs w:val="22"/>
              </w:rPr>
            </w:pPr>
            <w:r w:rsidRPr="00C24A40">
              <w:rPr>
                <w:rFonts w:eastAsia="Calibri"/>
                <w:color w:val="000000"/>
                <w:sz w:val="20"/>
                <w:szCs w:val="20"/>
              </w:rPr>
              <w:t xml:space="preserve">INCLUDE THE FOLLOWING TEXT:  </w:t>
            </w:r>
            <w:r w:rsidRPr="00C24A40">
              <w:rPr>
                <w:rFonts w:eastAsia="Calibri"/>
                <w:i/>
                <w:iCs/>
                <w:color w:val="000000"/>
                <w:sz w:val="20"/>
                <w:szCs w:val="20"/>
              </w:rPr>
              <w:t xml:space="preserve">Data for this report comes from the </w:t>
            </w:r>
            <w:r w:rsidRPr="00C24A40">
              <w:rPr>
                <w:rFonts w:eastAsia="Calibri"/>
                <w:i/>
                <w:iCs/>
                <w:color w:val="FF0000"/>
                <w:sz w:val="20"/>
                <w:szCs w:val="20"/>
              </w:rPr>
              <w:t>2014-2018*</w:t>
            </w:r>
            <w:r w:rsidRPr="00C24A40">
              <w:rPr>
                <w:rFonts w:eastAsia="Calibri"/>
                <w:i/>
                <w:iCs/>
                <w:color w:val="000000"/>
                <w:sz w:val="20"/>
                <w:szCs w:val="20"/>
              </w:rPr>
              <w:t xml:space="preserve"> American Community Survey five-year estimate, using tables, charts and maps. The purpose of the report is to analyze the data and identify potential populations that may be displaced or adversely affected by the recommended improvements proposed in the study. Statistics are provided for minority, elderly, low-income, disabled and limited-English populations for the nation, state, county and Census Tract Block</w:t>
            </w:r>
            <w:r w:rsidRPr="00C24A40">
              <w:rPr>
                <w:rFonts w:eastAsia="Calibri"/>
                <w:i/>
                <w:iCs/>
                <w:color w:val="000000"/>
                <w:sz w:val="22"/>
                <w:szCs w:val="22"/>
              </w:rPr>
              <w:t xml:space="preserve"> Groups in the project area.</w:t>
            </w:r>
            <w:r w:rsidRPr="00C24A40">
              <w:rPr>
                <w:rFonts w:eastAsia="Calibri"/>
                <w:color w:val="000000"/>
                <w:sz w:val="22"/>
                <w:szCs w:val="22"/>
              </w:rPr>
              <w:t xml:space="preserve"> </w:t>
            </w:r>
            <w:r w:rsidRPr="00C24A40">
              <w:rPr>
                <w:rFonts w:eastAsia="Calibri"/>
                <w:color w:val="FF0000"/>
                <w:sz w:val="20"/>
                <w:szCs w:val="20"/>
              </w:rPr>
              <w:t xml:space="preserve">*Use most recent ACS information.  </w:t>
            </w:r>
            <w:r w:rsidRPr="00C24A40">
              <w:rPr>
                <w:rFonts w:eastAsia="Calibri"/>
                <w:color w:val="000000"/>
                <w:sz w:val="20"/>
                <w:szCs w:val="20"/>
              </w:rPr>
              <w:t xml:space="preserve"> </w:t>
            </w:r>
            <w:r w:rsidRPr="00C24A40">
              <w:rPr>
                <w:rFonts w:eastAsia="Calibri"/>
                <w:color w:val="000000"/>
                <w:sz w:val="22"/>
                <w:szCs w:val="22"/>
              </w:rPr>
              <w:t xml:space="preserve">  </w:t>
            </w:r>
            <w:r w:rsidRPr="00C24A40">
              <w:rPr>
                <w:rFonts w:eastAsia="Calibri"/>
                <w:color w:val="000000"/>
                <w:sz w:val="20"/>
                <w:szCs w:val="20"/>
              </w:rPr>
              <w:t xml:space="preserve">ALSO INCLUDE:  </w:t>
            </w:r>
            <w:r w:rsidRPr="00C24A40">
              <w:rPr>
                <w:rFonts w:eastAsia="Calibri"/>
                <w:i/>
                <w:iCs/>
                <w:color w:val="000000"/>
                <w:sz w:val="20"/>
                <w:szCs w:val="20"/>
              </w:rPr>
              <w:t xml:space="preserve">The intent of this review is to assist the Kentucky Transportation </w:t>
            </w:r>
            <w:proofErr w:type="gramStart"/>
            <w:r w:rsidRPr="00C24A40">
              <w:rPr>
                <w:rFonts w:eastAsia="Calibri"/>
                <w:i/>
                <w:iCs/>
                <w:color w:val="000000"/>
                <w:sz w:val="20"/>
                <w:szCs w:val="20"/>
              </w:rPr>
              <w:t>Cabinet  in</w:t>
            </w:r>
            <w:proofErr w:type="gramEnd"/>
            <w:r w:rsidRPr="00C24A40">
              <w:rPr>
                <w:rFonts w:eastAsia="Calibri"/>
                <w:i/>
                <w:iCs/>
                <w:color w:val="000000"/>
                <w:sz w:val="20"/>
                <w:szCs w:val="20"/>
              </w:rPr>
              <w:t xml:space="preserve"> making informed and prudent transportation decisions in the study area</w:t>
            </w:r>
          </w:p>
        </w:tc>
        <w:tc>
          <w:tcPr>
            <w:tcW w:w="2247" w:type="pct"/>
            <w:tcBorders>
              <w:top w:val="nil"/>
              <w:left w:val="single" w:sz="4" w:space="0" w:color="auto"/>
              <w:bottom w:val="single" w:sz="4" w:space="0" w:color="auto"/>
              <w:right w:val="single" w:sz="4" w:space="0" w:color="auto"/>
            </w:tcBorders>
            <w:shd w:val="clear" w:color="auto" w:fill="auto"/>
            <w:hideMark/>
          </w:tcPr>
          <w:p w14:paraId="0AA6A28B" w14:textId="77777777" w:rsidR="00C24A40" w:rsidRPr="00C24A40" w:rsidRDefault="008F46D7" w:rsidP="00C24A40">
            <w:pPr>
              <w:rPr>
                <w:rFonts w:eastAsia="Calibri"/>
                <w:color w:val="0563C1"/>
                <w:sz w:val="22"/>
                <w:szCs w:val="22"/>
                <w:u w:val="single"/>
              </w:rPr>
            </w:pPr>
            <w:hyperlink r:id="rId6" w:history="1">
              <w:r w:rsidR="00C24A40" w:rsidRPr="00C24A40">
                <w:rPr>
                  <w:rFonts w:eastAsia="Calibri"/>
                  <w:color w:val="0563C1"/>
                  <w:sz w:val="22"/>
                  <w:szCs w:val="22"/>
                  <w:u w:val="single"/>
                </w:rPr>
                <w:t xml:space="preserve">https://www.census.gov/programs-surveys/acs/                                                </w:t>
              </w:r>
            </w:hyperlink>
          </w:p>
        </w:tc>
      </w:tr>
      <w:tr w:rsidR="00C24A40" w:rsidRPr="00C24A40" w14:paraId="6DADF850" w14:textId="77777777" w:rsidTr="00C24A40">
        <w:trPr>
          <w:trHeight w:val="563"/>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4332"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CA6C3" w14:textId="77777777" w:rsidR="00C24A40" w:rsidRPr="00C24A40" w:rsidRDefault="00C24A40" w:rsidP="00C24A40">
            <w:pPr>
              <w:rPr>
                <w:rFonts w:eastAsia="Calibri"/>
                <w:color w:val="000000"/>
                <w:sz w:val="22"/>
                <w:szCs w:val="22"/>
              </w:rPr>
            </w:pPr>
          </w:p>
        </w:tc>
        <w:tc>
          <w:tcPr>
            <w:tcW w:w="1948" w:type="pct"/>
            <w:tcBorders>
              <w:top w:val="single" w:sz="4" w:space="0" w:color="auto"/>
              <w:left w:val="nil"/>
              <w:bottom w:val="single" w:sz="4" w:space="0" w:color="auto"/>
              <w:right w:val="nil"/>
            </w:tcBorders>
            <w:shd w:val="clear" w:color="auto" w:fill="auto"/>
            <w:noWrap/>
            <w:vAlign w:val="bottom"/>
          </w:tcPr>
          <w:p w14:paraId="13E65944" w14:textId="77777777" w:rsidR="00C24A40" w:rsidRPr="00C24A40" w:rsidRDefault="00C24A40" w:rsidP="00C24A40">
            <w:pPr>
              <w:rPr>
                <w:rFonts w:eastAsia="Calibri"/>
                <w:color w:val="000000"/>
                <w:sz w:val="22"/>
                <w:szCs w:val="22"/>
              </w:rPr>
            </w:pPr>
          </w:p>
        </w:tc>
        <w:tc>
          <w:tcPr>
            <w:tcW w:w="2247" w:type="pct"/>
            <w:tcBorders>
              <w:top w:val="single" w:sz="4" w:space="0" w:color="auto"/>
              <w:left w:val="single" w:sz="4" w:space="0" w:color="auto"/>
              <w:bottom w:val="single" w:sz="4" w:space="0" w:color="auto"/>
              <w:right w:val="single" w:sz="4" w:space="0" w:color="auto"/>
            </w:tcBorders>
            <w:shd w:val="clear" w:color="auto" w:fill="auto"/>
            <w:vAlign w:val="bottom"/>
          </w:tcPr>
          <w:p w14:paraId="06FB31B1" w14:textId="77777777" w:rsidR="00C24A40" w:rsidRPr="00C24A40" w:rsidRDefault="00C24A40" w:rsidP="00C24A40">
            <w:pPr>
              <w:rPr>
                <w:rFonts w:eastAsia="Calibri"/>
                <w:color w:val="0563C1"/>
                <w:sz w:val="22"/>
                <w:szCs w:val="22"/>
                <w:u w:val="single"/>
              </w:rPr>
            </w:pPr>
          </w:p>
        </w:tc>
      </w:tr>
      <w:tr w:rsidR="00C24A40" w:rsidRPr="00C24A40" w14:paraId="44E83E7F" w14:textId="77777777" w:rsidTr="00C24A40">
        <w:trPr>
          <w:trHeight w:val="281"/>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C0AED"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single" w:sz="4" w:space="0" w:color="auto"/>
              <w:left w:val="nil"/>
              <w:bottom w:val="single" w:sz="4" w:space="0" w:color="auto"/>
              <w:right w:val="single" w:sz="4" w:space="0" w:color="auto"/>
            </w:tcBorders>
            <w:shd w:val="clear" w:color="auto" w:fill="auto"/>
            <w:noWrap/>
            <w:vAlign w:val="bottom"/>
          </w:tcPr>
          <w:p w14:paraId="3CDBF54C" w14:textId="77777777" w:rsidR="00C24A40" w:rsidRPr="00C24A40" w:rsidRDefault="00C24A40" w:rsidP="00C24A40">
            <w:pPr>
              <w:rPr>
                <w:rFonts w:eastAsia="Calibri"/>
                <w:color w:val="000000"/>
                <w:sz w:val="22"/>
                <w:szCs w:val="22"/>
              </w:rPr>
            </w:pPr>
          </w:p>
        </w:tc>
        <w:tc>
          <w:tcPr>
            <w:tcW w:w="1948" w:type="pct"/>
            <w:tcBorders>
              <w:top w:val="single" w:sz="4" w:space="0" w:color="auto"/>
              <w:left w:val="nil"/>
              <w:bottom w:val="single" w:sz="4" w:space="0" w:color="auto"/>
              <w:right w:val="nil"/>
            </w:tcBorders>
            <w:shd w:val="clear" w:color="auto" w:fill="auto"/>
            <w:noWrap/>
            <w:vAlign w:val="bottom"/>
          </w:tcPr>
          <w:p w14:paraId="5D5E3E39" w14:textId="77777777" w:rsidR="00C24A40" w:rsidRPr="00C24A40" w:rsidRDefault="00C24A40" w:rsidP="00C24A40">
            <w:pPr>
              <w:rPr>
                <w:rFonts w:eastAsia="Calibri"/>
                <w:color w:val="000000"/>
                <w:sz w:val="22"/>
                <w:szCs w:val="22"/>
              </w:rPr>
            </w:pPr>
          </w:p>
        </w:tc>
        <w:tc>
          <w:tcPr>
            <w:tcW w:w="2247" w:type="pct"/>
            <w:tcBorders>
              <w:top w:val="single" w:sz="4" w:space="0" w:color="auto"/>
              <w:left w:val="single" w:sz="4" w:space="0" w:color="auto"/>
              <w:bottom w:val="single" w:sz="4" w:space="0" w:color="auto"/>
              <w:right w:val="single" w:sz="4" w:space="0" w:color="auto"/>
            </w:tcBorders>
            <w:shd w:val="clear" w:color="auto" w:fill="auto"/>
            <w:vAlign w:val="bottom"/>
          </w:tcPr>
          <w:p w14:paraId="0385F3D7" w14:textId="77777777" w:rsidR="00C24A40" w:rsidRPr="00C24A40" w:rsidRDefault="00C24A40" w:rsidP="00C24A40">
            <w:pPr>
              <w:rPr>
                <w:rFonts w:eastAsia="Calibri"/>
                <w:color w:val="0563C1"/>
                <w:sz w:val="22"/>
                <w:szCs w:val="22"/>
                <w:u w:val="single"/>
              </w:rPr>
            </w:pPr>
          </w:p>
        </w:tc>
      </w:tr>
      <w:tr w:rsidR="00C24A40" w:rsidRPr="00C24A40" w14:paraId="5B41CE88" w14:textId="77777777" w:rsidTr="00C24A40">
        <w:trPr>
          <w:trHeight w:val="5757"/>
        </w:trPr>
        <w:tc>
          <w:tcPr>
            <w:tcW w:w="180" w:type="pct"/>
            <w:tcBorders>
              <w:top w:val="single" w:sz="4" w:space="0" w:color="auto"/>
              <w:left w:val="single" w:sz="4" w:space="0" w:color="auto"/>
              <w:bottom w:val="nil"/>
              <w:right w:val="single" w:sz="4" w:space="0" w:color="auto"/>
            </w:tcBorders>
            <w:shd w:val="clear" w:color="auto" w:fill="auto"/>
            <w:noWrap/>
            <w:vAlign w:val="bottom"/>
            <w:hideMark/>
          </w:tcPr>
          <w:p w14:paraId="1CB25B3E" w14:textId="77777777" w:rsidR="00C24A40" w:rsidRPr="00C24A40" w:rsidRDefault="00C24A40" w:rsidP="00C24A40">
            <w:pPr>
              <w:rPr>
                <w:rFonts w:eastAsia="Calibri"/>
                <w:color w:val="000000"/>
                <w:sz w:val="22"/>
                <w:szCs w:val="22"/>
              </w:rPr>
            </w:pPr>
            <w:r w:rsidRPr="00C24A40">
              <w:rPr>
                <w:rFonts w:eastAsia="Calibri"/>
                <w:color w:val="000000"/>
                <w:sz w:val="22"/>
                <w:szCs w:val="22"/>
              </w:rPr>
              <w:lastRenderedPageBreak/>
              <w:t> </w:t>
            </w:r>
          </w:p>
        </w:tc>
        <w:tc>
          <w:tcPr>
            <w:tcW w:w="624" w:type="pct"/>
            <w:tcBorders>
              <w:top w:val="single" w:sz="4" w:space="0" w:color="auto"/>
              <w:left w:val="nil"/>
              <w:bottom w:val="nil"/>
              <w:right w:val="single" w:sz="4" w:space="0" w:color="auto"/>
            </w:tcBorders>
            <w:shd w:val="clear" w:color="auto" w:fill="auto"/>
            <w:noWrap/>
            <w:vAlign w:val="center"/>
            <w:hideMark/>
          </w:tcPr>
          <w:p w14:paraId="0163097B" w14:textId="77777777" w:rsidR="00C24A40" w:rsidRPr="00C24A40" w:rsidRDefault="00C24A40" w:rsidP="00C24A40">
            <w:pPr>
              <w:rPr>
                <w:rFonts w:eastAsia="Calibri"/>
                <w:color w:val="000000"/>
                <w:sz w:val="22"/>
                <w:szCs w:val="22"/>
              </w:rPr>
            </w:pPr>
            <w:r w:rsidRPr="00C24A40">
              <w:rPr>
                <w:rFonts w:eastAsia="Calibri"/>
                <w:color w:val="000000"/>
                <w:sz w:val="22"/>
                <w:szCs w:val="22"/>
              </w:rPr>
              <w:t>Methodology</w:t>
            </w:r>
          </w:p>
        </w:tc>
        <w:tc>
          <w:tcPr>
            <w:tcW w:w="1948" w:type="pct"/>
            <w:tcBorders>
              <w:top w:val="single" w:sz="4" w:space="0" w:color="auto"/>
              <w:left w:val="nil"/>
              <w:bottom w:val="nil"/>
              <w:right w:val="nil"/>
            </w:tcBorders>
            <w:shd w:val="clear" w:color="auto" w:fill="auto"/>
            <w:vAlign w:val="bottom"/>
            <w:hideMark/>
          </w:tcPr>
          <w:p w14:paraId="4F6F70C0" w14:textId="356737F6" w:rsidR="00C24A40" w:rsidRPr="00C24A40" w:rsidRDefault="00C24A40" w:rsidP="00C24A40">
            <w:pPr>
              <w:rPr>
                <w:rFonts w:eastAsia="Calibri"/>
                <w:color w:val="000000"/>
                <w:sz w:val="22"/>
                <w:szCs w:val="22"/>
              </w:rPr>
            </w:pPr>
            <w:r w:rsidRPr="00C24A40">
              <w:rPr>
                <w:rFonts w:eastAsia="Calibri"/>
                <w:color w:val="000000"/>
                <w:sz w:val="20"/>
                <w:szCs w:val="20"/>
              </w:rPr>
              <w:t xml:space="preserve">The data was collected using the method outlined by the KYTC document “Methodology for </w:t>
            </w:r>
            <w:r w:rsidR="008F46D7">
              <w:rPr>
                <w:rFonts w:eastAsia="Calibri"/>
                <w:color w:val="000000"/>
                <w:sz w:val="20"/>
                <w:szCs w:val="20"/>
              </w:rPr>
              <w:t>Developing Socioeconomic Studies for KYTC Planning</w:t>
            </w:r>
            <w:r w:rsidRPr="00C24A40">
              <w:rPr>
                <w:rFonts w:eastAsia="Calibri"/>
                <w:color w:val="000000"/>
                <w:sz w:val="20"/>
                <w:szCs w:val="20"/>
              </w:rPr>
              <w:t>” (</w:t>
            </w:r>
            <w:r w:rsidRPr="00C24A40">
              <w:rPr>
                <w:rFonts w:eastAsia="Calibri"/>
                <w:color w:val="FF0000"/>
                <w:sz w:val="20"/>
                <w:szCs w:val="20"/>
              </w:rPr>
              <w:t>INCLUDE THIS AS AN APPENDIX</w:t>
            </w:r>
            <w:r w:rsidRPr="00C24A40">
              <w:rPr>
                <w:rFonts w:eastAsia="Calibri"/>
                <w:color w:val="000000"/>
                <w:sz w:val="20"/>
                <w:szCs w:val="20"/>
              </w:rPr>
              <w:t xml:space="preserve">). The demographics of the affected area should be defined using U.S. Census Bureau data and the percentages for minority, low-income, elderly, disabled and limited-English populations should be compared to the Census Tracts and Block Groups, the </w:t>
            </w:r>
            <w:proofErr w:type="gramStart"/>
            <w:r w:rsidRPr="00C24A40">
              <w:rPr>
                <w:rFonts w:eastAsia="Calibri"/>
                <w:color w:val="000000"/>
                <w:sz w:val="20"/>
                <w:szCs w:val="20"/>
              </w:rPr>
              <w:t>county as a whole,</w:t>
            </w:r>
            <w:r w:rsidRPr="00C24A40">
              <w:rPr>
                <w:rFonts w:eastAsia="Calibri"/>
                <w:color w:val="000000"/>
                <w:sz w:val="22"/>
                <w:szCs w:val="22"/>
              </w:rPr>
              <w:t xml:space="preserve"> the</w:t>
            </w:r>
            <w:proofErr w:type="gramEnd"/>
            <w:r w:rsidRPr="00C24A40">
              <w:rPr>
                <w:rFonts w:eastAsia="Calibri"/>
                <w:color w:val="000000"/>
                <w:sz w:val="22"/>
                <w:szCs w:val="22"/>
              </w:rPr>
              <w:t xml:space="preserve"> entire state and the United States.</w:t>
            </w:r>
            <w:r w:rsidR="0078339B">
              <w:rPr>
                <w:rFonts w:eastAsia="Calibri"/>
                <w:color w:val="000000"/>
                <w:sz w:val="22"/>
                <w:szCs w:val="22"/>
              </w:rPr>
              <w:t xml:space="preserve"> </w:t>
            </w:r>
            <w:r w:rsidRPr="00C24A40">
              <w:rPr>
                <w:rFonts w:eastAsia="Calibri"/>
                <w:color w:val="000000"/>
                <w:sz w:val="20"/>
                <w:szCs w:val="20"/>
              </w:rPr>
              <w:t xml:space="preserve">The primary source of data for this report is the </w:t>
            </w:r>
            <w:r w:rsidRPr="00C24A40">
              <w:rPr>
                <w:rFonts w:eastAsia="Calibri"/>
                <w:color w:val="FF0000"/>
                <w:sz w:val="20"/>
                <w:szCs w:val="20"/>
              </w:rPr>
              <w:t>2014-2018*</w:t>
            </w:r>
            <w:r w:rsidRPr="00C24A40">
              <w:rPr>
                <w:rFonts w:eastAsia="Calibri"/>
                <w:color w:val="000000"/>
                <w:sz w:val="20"/>
                <w:szCs w:val="20"/>
              </w:rPr>
              <w:t xml:space="preserve"> U.S. Census Bureau American Community Survey five-year estimate. Data was drawn from these tables:</w:t>
            </w:r>
            <w:r w:rsidRPr="00C24A40">
              <w:rPr>
                <w:rFonts w:eastAsia="Calibri"/>
                <w:color w:val="000000"/>
                <w:sz w:val="22"/>
                <w:szCs w:val="22"/>
              </w:rPr>
              <w:br/>
            </w:r>
            <w:r w:rsidRPr="00C24A40">
              <w:rPr>
                <w:rFonts w:eastAsia="Calibri"/>
                <w:i/>
                <w:iCs/>
                <w:color w:val="000000"/>
                <w:sz w:val="20"/>
                <w:szCs w:val="20"/>
              </w:rPr>
              <w:t>• S0101 – Age and Sex</w:t>
            </w:r>
            <w:r w:rsidRPr="00C24A40">
              <w:rPr>
                <w:rFonts w:eastAsia="Calibri"/>
                <w:i/>
                <w:iCs/>
                <w:color w:val="000000"/>
                <w:sz w:val="20"/>
                <w:szCs w:val="20"/>
              </w:rPr>
              <w:br/>
              <w:t>• S1811 – Selected Economic Characteristics for the Civilian Noninstitutionalized Population by Disability Status</w:t>
            </w:r>
            <w:r w:rsidRPr="00C24A40">
              <w:rPr>
                <w:rFonts w:eastAsia="Calibri"/>
                <w:color w:val="000000"/>
                <w:sz w:val="22"/>
                <w:szCs w:val="22"/>
              </w:rPr>
              <w:br/>
            </w:r>
            <w:r w:rsidRPr="00C24A40">
              <w:rPr>
                <w:rFonts w:eastAsia="Calibri"/>
                <w:color w:val="000000"/>
                <w:sz w:val="20"/>
                <w:szCs w:val="20"/>
              </w:rPr>
              <w:t>• B03002 – Hispanic or Latino Origin by Race</w:t>
            </w:r>
            <w:r w:rsidRPr="00C24A40">
              <w:rPr>
                <w:rFonts w:eastAsia="Calibri"/>
                <w:color w:val="000000"/>
                <w:sz w:val="20"/>
                <w:szCs w:val="20"/>
              </w:rPr>
              <w:br/>
              <w:t>• B17021 – Poverty Status in the Past 12 Months by Living Arrangement</w:t>
            </w:r>
            <w:r w:rsidRPr="00C24A40">
              <w:rPr>
                <w:rFonts w:eastAsia="Calibri"/>
                <w:color w:val="000000"/>
                <w:sz w:val="20"/>
                <w:szCs w:val="20"/>
              </w:rPr>
              <w:br/>
              <w:t>• B16004 – Language spoken at home for</w:t>
            </w:r>
            <w:r w:rsidRPr="00C24A40">
              <w:rPr>
                <w:rFonts w:eastAsia="Calibri"/>
                <w:color w:val="000000"/>
                <w:sz w:val="22"/>
                <w:szCs w:val="22"/>
              </w:rPr>
              <w:t xml:space="preserve"> population ages 5 or older</w:t>
            </w:r>
          </w:p>
        </w:tc>
        <w:tc>
          <w:tcPr>
            <w:tcW w:w="2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AF4DD" w14:textId="767EF332" w:rsidR="0078339B" w:rsidRPr="0078339B" w:rsidRDefault="00C24A40" w:rsidP="0078339B">
            <w:pPr>
              <w:rPr>
                <w:rFonts w:eastAsia="Calibri"/>
                <w:i/>
                <w:iCs/>
                <w:color w:val="000000"/>
                <w:sz w:val="22"/>
                <w:szCs w:val="22"/>
              </w:rPr>
            </w:pPr>
            <w:r w:rsidRPr="00C24A40">
              <w:rPr>
                <w:rFonts w:eastAsia="Calibri"/>
                <w:color w:val="000000"/>
                <w:sz w:val="22"/>
                <w:szCs w:val="22"/>
              </w:rPr>
              <w:t xml:space="preserve">KYTC Document: </w:t>
            </w:r>
            <w:r w:rsidRPr="00C24A40">
              <w:rPr>
                <w:rFonts w:eastAsia="Calibri"/>
                <w:i/>
                <w:iCs/>
                <w:color w:val="000000"/>
                <w:sz w:val="22"/>
                <w:szCs w:val="22"/>
              </w:rPr>
              <w:t xml:space="preserve">   "</w:t>
            </w:r>
            <w:r w:rsidR="0078339B">
              <w:t xml:space="preserve"> </w:t>
            </w:r>
            <w:r w:rsidR="0078339B" w:rsidRPr="0078339B">
              <w:rPr>
                <w:rFonts w:eastAsia="Calibri"/>
                <w:i/>
                <w:iCs/>
                <w:color w:val="000000"/>
                <w:sz w:val="22"/>
                <w:szCs w:val="22"/>
              </w:rPr>
              <w:t xml:space="preserve">METHODOLOGY FOR ASSESSING </w:t>
            </w:r>
          </w:p>
          <w:p w14:paraId="01455105" w14:textId="0B7083DA" w:rsidR="00C24A40" w:rsidRPr="00C24A40" w:rsidRDefault="0078339B" w:rsidP="0078339B">
            <w:pPr>
              <w:rPr>
                <w:rFonts w:eastAsia="Calibri"/>
                <w:i/>
                <w:iCs/>
                <w:color w:val="000000"/>
                <w:sz w:val="22"/>
                <w:szCs w:val="22"/>
              </w:rPr>
            </w:pPr>
            <w:r w:rsidRPr="0078339B">
              <w:rPr>
                <w:rFonts w:eastAsia="Calibri"/>
                <w:i/>
                <w:iCs/>
                <w:color w:val="000000"/>
                <w:sz w:val="22"/>
                <w:szCs w:val="22"/>
              </w:rPr>
              <w:t xml:space="preserve">UNDERSERVED POPULATIONS FOR KYTC PLANNING STUDIES </w:t>
            </w:r>
            <w:r w:rsidR="00C24A40" w:rsidRPr="00C24A40">
              <w:rPr>
                <w:rFonts w:eastAsia="Calibri"/>
                <w:i/>
                <w:iCs/>
                <w:color w:val="000000"/>
                <w:sz w:val="22"/>
                <w:szCs w:val="22"/>
              </w:rPr>
              <w:t xml:space="preserve">" (Updated </w:t>
            </w:r>
            <w:r>
              <w:rPr>
                <w:rFonts w:eastAsia="Calibri"/>
                <w:i/>
                <w:iCs/>
                <w:color w:val="000000"/>
                <w:sz w:val="22"/>
                <w:szCs w:val="22"/>
              </w:rPr>
              <w:t>March</w:t>
            </w:r>
            <w:r w:rsidR="00C24A40" w:rsidRPr="00C24A40">
              <w:rPr>
                <w:rFonts w:eastAsia="Calibri"/>
                <w:i/>
                <w:iCs/>
                <w:color w:val="000000"/>
                <w:sz w:val="22"/>
                <w:szCs w:val="22"/>
              </w:rPr>
              <w:t xml:space="preserve"> 20</w:t>
            </w:r>
            <w:r>
              <w:rPr>
                <w:rFonts w:eastAsia="Calibri"/>
                <w:i/>
                <w:iCs/>
                <w:color w:val="000000"/>
                <w:sz w:val="22"/>
                <w:szCs w:val="22"/>
              </w:rPr>
              <w:t>25</w:t>
            </w:r>
            <w:r w:rsidR="00C24A40" w:rsidRPr="00C24A40">
              <w:rPr>
                <w:rFonts w:eastAsia="Calibri"/>
                <w:i/>
                <w:iCs/>
                <w:color w:val="000000"/>
                <w:sz w:val="22"/>
                <w:szCs w:val="22"/>
              </w:rPr>
              <w:t>)</w:t>
            </w:r>
          </w:p>
        </w:tc>
      </w:tr>
      <w:tr w:rsidR="00C24A40" w:rsidRPr="00C24A40" w14:paraId="29F9ACB6" w14:textId="77777777" w:rsidTr="00C24A40">
        <w:trPr>
          <w:trHeight w:val="281"/>
        </w:trPr>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D2D93"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14:paraId="56EA0A23" w14:textId="77777777" w:rsidR="00C24A40" w:rsidRPr="00C24A40" w:rsidRDefault="00C24A40" w:rsidP="00C24A40">
            <w:pPr>
              <w:rPr>
                <w:rFonts w:eastAsia="Calibri"/>
                <w:color w:val="000000"/>
                <w:sz w:val="22"/>
                <w:szCs w:val="22"/>
              </w:rPr>
            </w:pPr>
            <w:r w:rsidRPr="00C24A40">
              <w:rPr>
                <w:rFonts w:eastAsia="Calibri"/>
                <w:color w:val="000000"/>
                <w:sz w:val="22"/>
                <w:szCs w:val="22"/>
              </w:rPr>
              <w:t>Census Data Analysis</w:t>
            </w:r>
          </w:p>
        </w:tc>
        <w:tc>
          <w:tcPr>
            <w:tcW w:w="1948" w:type="pct"/>
            <w:tcBorders>
              <w:top w:val="single" w:sz="4" w:space="0" w:color="auto"/>
              <w:left w:val="nil"/>
              <w:bottom w:val="single" w:sz="4" w:space="0" w:color="auto"/>
              <w:right w:val="nil"/>
            </w:tcBorders>
            <w:shd w:val="clear" w:color="auto" w:fill="auto"/>
            <w:noWrap/>
            <w:vAlign w:val="bottom"/>
            <w:hideMark/>
          </w:tcPr>
          <w:p w14:paraId="6B93C138"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1E687FC0" w14:textId="77777777" w:rsidR="00C24A40" w:rsidRPr="00C24A40" w:rsidRDefault="00C24A40" w:rsidP="00C24A40">
            <w:pPr>
              <w:rPr>
                <w:rFonts w:eastAsia="Calibri"/>
                <w:color w:val="000000"/>
                <w:sz w:val="22"/>
                <w:szCs w:val="22"/>
              </w:rPr>
            </w:pPr>
            <w:r w:rsidRPr="00C24A40">
              <w:rPr>
                <w:rFonts w:eastAsia="Calibri"/>
                <w:color w:val="000000"/>
                <w:sz w:val="22"/>
                <w:szCs w:val="22"/>
              </w:rPr>
              <w:t>See Example Socioeconomic Reports - Provided by KYTC</w:t>
            </w:r>
          </w:p>
        </w:tc>
      </w:tr>
      <w:tr w:rsidR="00C24A40" w:rsidRPr="00C24A40" w14:paraId="2979AE32" w14:textId="77777777" w:rsidTr="00C24A40">
        <w:trPr>
          <w:trHeight w:val="281"/>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63924A"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center"/>
            <w:hideMark/>
          </w:tcPr>
          <w:p w14:paraId="08F0085D" w14:textId="77777777" w:rsidR="00C24A40" w:rsidRPr="00C24A40" w:rsidRDefault="00C24A40" w:rsidP="00C24A40">
            <w:pPr>
              <w:rPr>
                <w:rFonts w:eastAsia="Calibri"/>
                <w:color w:val="000000"/>
                <w:sz w:val="22"/>
                <w:szCs w:val="22"/>
              </w:rPr>
            </w:pPr>
            <w:r w:rsidRPr="00C24A40">
              <w:rPr>
                <w:rFonts w:eastAsia="Calibri"/>
                <w:color w:val="000000"/>
                <w:sz w:val="22"/>
                <w:szCs w:val="22"/>
              </w:rPr>
              <w:t>Study Findings</w:t>
            </w:r>
          </w:p>
        </w:tc>
        <w:tc>
          <w:tcPr>
            <w:tcW w:w="1948" w:type="pct"/>
            <w:tcBorders>
              <w:top w:val="nil"/>
              <w:left w:val="nil"/>
              <w:bottom w:val="single" w:sz="4" w:space="0" w:color="auto"/>
              <w:right w:val="nil"/>
            </w:tcBorders>
            <w:shd w:val="clear" w:color="auto" w:fill="auto"/>
            <w:noWrap/>
            <w:vAlign w:val="bottom"/>
            <w:hideMark/>
          </w:tcPr>
          <w:p w14:paraId="7B7D8557"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1971453B" w14:textId="77777777" w:rsidR="00C24A40" w:rsidRPr="00C24A40" w:rsidRDefault="00C24A40" w:rsidP="00C24A40">
            <w:pPr>
              <w:rPr>
                <w:rFonts w:eastAsia="Calibri"/>
                <w:color w:val="000000"/>
                <w:sz w:val="22"/>
                <w:szCs w:val="22"/>
              </w:rPr>
            </w:pPr>
            <w:r w:rsidRPr="00C24A40">
              <w:rPr>
                <w:rFonts w:eastAsia="Calibri"/>
                <w:color w:val="000000"/>
                <w:sz w:val="22"/>
                <w:szCs w:val="22"/>
              </w:rPr>
              <w:t>See Example Socioeconomic Reports - Provided by KYTC</w:t>
            </w:r>
          </w:p>
        </w:tc>
      </w:tr>
      <w:tr w:rsidR="00C24A40" w:rsidRPr="00C24A40" w14:paraId="34462CE2" w14:textId="77777777" w:rsidTr="00C24A40">
        <w:trPr>
          <w:trHeight w:val="281"/>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1C6BC3"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center"/>
            <w:hideMark/>
          </w:tcPr>
          <w:p w14:paraId="295EE924" w14:textId="77777777" w:rsidR="00C24A40" w:rsidRPr="00C24A40" w:rsidRDefault="00C24A40" w:rsidP="00C24A40">
            <w:pPr>
              <w:rPr>
                <w:rFonts w:eastAsia="Calibri"/>
                <w:color w:val="000000"/>
                <w:sz w:val="22"/>
                <w:szCs w:val="22"/>
              </w:rPr>
            </w:pPr>
            <w:r w:rsidRPr="00C24A40">
              <w:rPr>
                <w:rFonts w:eastAsia="Calibri"/>
                <w:color w:val="000000"/>
                <w:sz w:val="22"/>
                <w:szCs w:val="22"/>
              </w:rPr>
              <w:t>Maps; Tables</w:t>
            </w:r>
          </w:p>
        </w:tc>
        <w:tc>
          <w:tcPr>
            <w:tcW w:w="1948" w:type="pct"/>
            <w:tcBorders>
              <w:top w:val="nil"/>
              <w:left w:val="nil"/>
              <w:bottom w:val="single" w:sz="4" w:space="0" w:color="auto"/>
              <w:right w:val="nil"/>
            </w:tcBorders>
            <w:shd w:val="clear" w:color="auto" w:fill="auto"/>
            <w:noWrap/>
            <w:vAlign w:val="bottom"/>
            <w:hideMark/>
          </w:tcPr>
          <w:p w14:paraId="3922C0A0"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05449CF6" w14:textId="77777777" w:rsidR="00C24A40" w:rsidRPr="00C24A40" w:rsidRDefault="00C24A40" w:rsidP="00C24A40">
            <w:pPr>
              <w:rPr>
                <w:rFonts w:eastAsia="Calibri"/>
                <w:color w:val="000000"/>
                <w:sz w:val="22"/>
                <w:szCs w:val="22"/>
              </w:rPr>
            </w:pPr>
            <w:r w:rsidRPr="00C24A40">
              <w:rPr>
                <w:rFonts w:eastAsia="Calibri"/>
                <w:color w:val="000000"/>
                <w:sz w:val="22"/>
                <w:szCs w:val="22"/>
              </w:rPr>
              <w:t>See Example Socioeconomic Reports - Provided by KYTC</w:t>
            </w:r>
          </w:p>
        </w:tc>
      </w:tr>
      <w:tr w:rsidR="00C24A40" w:rsidRPr="00C24A40" w14:paraId="503DB633" w14:textId="77777777" w:rsidTr="00C24A40">
        <w:trPr>
          <w:trHeight w:val="281"/>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34B7B1"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624" w:type="pct"/>
            <w:tcBorders>
              <w:top w:val="nil"/>
              <w:left w:val="nil"/>
              <w:bottom w:val="single" w:sz="4" w:space="0" w:color="auto"/>
              <w:right w:val="single" w:sz="4" w:space="0" w:color="auto"/>
            </w:tcBorders>
            <w:shd w:val="clear" w:color="auto" w:fill="auto"/>
            <w:noWrap/>
            <w:vAlign w:val="center"/>
            <w:hideMark/>
          </w:tcPr>
          <w:p w14:paraId="1877AFC2" w14:textId="77777777" w:rsidR="00C24A40" w:rsidRPr="00C24A40" w:rsidRDefault="00C24A40" w:rsidP="00C24A40">
            <w:pPr>
              <w:rPr>
                <w:rFonts w:eastAsia="Calibri"/>
                <w:color w:val="000000"/>
                <w:sz w:val="22"/>
                <w:szCs w:val="22"/>
              </w:rPr>
            </w:pPr>
            <w:r w:rsidRPr="00C24A40">
              <w:rPr>
                <w:rFonts w:eastAsia="Calibri"/>
                <w:color w:val="000000"/>
                <w:sz w:val="22"/>
                <w:szCs w:val="22"/>
              </w:rPr>
              <w:t>Conclusion</w:t>
            </w:r>
          </w:p>
        </w:tc>
        <w:tc>
          <w:tcPr>
            <w:tcW w:w="1948" w:type="pct"/>
            <w:tcBorders>
              <w:top w:val="nil"/>
              <w:left w:val="nil"/>
              <w:bottom w:val="single" w:sz="4" w:space="0" w:color="auto"/>
              <w:right w:val="nil"/>
            </w:tcBorders>
            <w:shd w:val="clear" w:color="auto" w:fill="auto"/>
            <w:noWrap/>
            <w:vAlign w:val="bottom"/>
            <w:hideMark/>
          </w:tcPr>
          <w:p w14:paraId="429E70A2" w14:textId="77777777" w:rsidR="00C24A40" w:rsidRPr="00C24A40" w:rsidRDefault="00C24A40" w:rsidP="00C24A40">
            <w:pPr>
              <w:rPr>
                <w:rFonts w:eastAsia="Calibri"/>
                <w:color w:val="000000"/>
                <w:sz w:val="22"/>
                <w:szCs w:val="22"/>
              </w:rPr>
            </w:pPr>
            <w:r w:rsidRPr="00C24A40">
              <w:rPr>
                <w:rFonts w:eastAsia="Calibri"/>
                <w:color w:val="000000"/>
                <w:sz w:val="22"/>
                <w:szCs w:val="22"/>
              </w:rPr>
              <w:t> </w:t>
            </w:r>
          </w:p>
        </w:tc>
        <w:tc>
          <w:tcPr>
            <w:tcW w:w="2247" w:type="pct"/>
            <w:tcBorders>
              <w:top w:val="nil"/>
              <w:left w:val="single" w:sz="4" w:space="0" w:color="auto"/>
              <w:bottom w:val="single" w:sz="4" w:space="0" w:color="auto"/>
              <w:right w:val="single" w:sz="4" w:space="0" w:color="auto"/>
            </w:tcBorders>
            <w:shd w:val="clear" w:color="auto" w:fill="auto"/>
            <w:vAlign w:val="bottom"/>
            <w:hideMark/>
          </w:tcPr>
          <w:p w14:paraId="5353C873" w14:textId="77777777" w:rsidR="00C24A40" w:rsidRPr="00C24A40" w:rsidRDefault="00C24A40" w:rsidP="00C24A40">
            <w:pPr>
              <w:rPr>
                <w:rFonts w:eastAsia="Calibri"/>
                <w:color w:val="000000"/>
                <w:sz w:val="22"/>
                <w:szCs w:val="22"/>
              </w:rPr>
            </w:pPr>
            <w:r w:rsidRPr="00C24A40">
              <w:rPr>
                <w:rFonts w:eastAsia="Calibri"/>
                <w:color w:val="000000"/>
                <w:sz w:val="22"/>
                <w:szCs w:val="22"/>
              </w:rPr>
              <w:t>See Example Socioeconomic Reports - Provided by KYTC</w:t>
            </w:r>
          </w:p>
        </w:tc>
      </w:tr>
      <w:tr w:rsidR="00C24A40" w:rsidRPr="00C24A40" w14:paraId="7D9CA889" w14:textId="77777777" w:rsidTr="00C24A40">
        <w:trPr>
          <w:trHeight w:val="281"/>
        </w:trPr>
        <w:tc>
          <w:tcPr>
            <w:tcW w:w="180" w:type="pct"/>
            <w:tcBorders>
              <w:top w:val="nil"/>
              <w:left w:val="nil"/>
              <w:bottom w:val="nil"/>
              <w:right w:val="nil"/>
            </w:tcBorders>
            <w:shd w:val="clear" w:color="auto" w:fill="auto"/>
            <w:noWrap/>
            <w:vAlign w:val="bottom"/>
            <w:hideMark/>
          </w:tcPr>
          <w:p w14:paraId="6A8394DF" w14:textId="77777777" w:rsidR="00C24A40" w:rsidRPr="00C24A40" w:rsidRDefault="00C24A40" w:rsidP="00C24A40">
            <w:pPr>
              <w:rPr>
                <w:rFonts w:eastAsia="Calibri"/>
                <w:color w:val="000000"/>
                <w:sz w:val="22"/>
                <w:szCs w:val="22"/>
              </w:rPr>
            </w:pPr>
          </w:p>
        </w:tc>
        <w:tc>
          <w:tcPr>
            <w:tcW w:w="624" w:type="pct"/>
            <w:tcBorders>
              <w:top w:val="nil"/>
              <w:left w:val="nil"/>
              <w:bottom w:val="nil"/>
              <w:right w:val="nil"/>
            </w:tcBorders>
            <w:shd w:val="clear" w:color="auto" w:fill="auto"/>
            <w:noWrap/>
            <w:vAlign w:val="bottom"/>
            <w:hideMark/>
          </w:tcPr>
          <w:p w14:paraId="54F320C0" w14:textId="77777777" w:rsidR="00C24A40" w:rsidRPr="00C24A40" w:rsidRDefault="00C24A40" w:rsidP="00C24A40">
            <w:pPr>
              <w:rPr>
                <w:rFonts w:eastAsia="Calibri"/>
                <w:sz w:val="20"/>
                <w:szCs w:val="20"/>
              </w:rPr>
            </w:pPr>
          </w:p>
        </w:tc>
        <w:tc>
          <w:tcPr>
            <w:tcW w:w="1948" w:type="pct"/>
            <w:tcBorders>
              <w:top w:val="nil"/>
              <w:left w:val="nil"/>
              <w:bottom w:val="nil"/>
              <w:right w:val="nil"/>
            </w:tcBorders>
            <w:shd w:val="clear" w:color="auto" w:fill="auto"/>
            <w:noWrap/>
            <w:vAlign w:val="bottom"/>
            <w:hideMark/>
          </w:tcPr>
          <w:p w14:paraId="0E3C5B9E" w14:textId="77777777" w:rsidR="00C24A40" w:rsidRPr="00C24A40" w:rsidRDefault="00C24A40" w:rsidP="00C24A40">
            <w:pPr>
              <w:rPr>
                <w:rFonts w:eastAsia="Calibri"/>
                <w:sz w:val="20"/>
                <w:szCs w:val="20"/>
              </w:rPr>
            </w:pPr>
          </w:p>
        </w:tc>
        <w:tc>
          <w:tcPr>
            <w:tcW w:w="2247" w:type="pct"/>
            <w:tcBorders>
              <w:top w:val="nil"/>
              <w:left w:val="nil"/>
              <w:bottom w:val="nil"/>
              <w:right w:val="nil"/>
            </w:tcBorders>
            <w:shd w:val="clear" w:color="auto" w:fill="auto"/>
            <w:vAlign w:val="bottom"/>
            <w:hideMark/>
          </w:tcPr>
          <w:p w14:paraId="3C936529" w14:textId="77777777" w:rsidR="00C24A40" w:rsidRPr="00C24A40" w:rsidRDefault="00C24A40" w:rsidP="00C24A40">
            <w:pPr>
              <w:rPr>
                <w:rFonts w:eastAsia="Calibri"/>
                <w:sz w:val="20"/>
                <w:szCs w:val="20"/>
              </w:rPr>
            </w:pPr>
          </w:p>
        </w:tc>
      </w:tr>
    </w:tbl>
    <w:p w14:paraId="5E416E24" w14:textId="77777777" w:rsidR="00C24A40" w:rsidRDefault="00C24A40" w:rsidP="00C24A40">
      <w:pPr>
        <w:pStyle w:val="ListParagraph"/>
        <w:spacing w:after="160"/>
        <w:ind w:left="0"/>
        <w:jc w:val="both"/>
        <w:rPr>
          <w:sz w:val="22"/>
          <w:szCs w:val="22"/>
        </w:rPr>
      </w:pPr>
    </w:p>
    <w:p w14:paraId="0F2B409C" w14:textId="77777777" w:rsidR="00C24A40" w:rsidRDefault="00C24A40" w:rsidP="00C24A40">
      <w:pPr>
        <w:pStyle w:val="ListParagraph"/>
        <w:spacing w:after="160"/>
        <w:ind w:left="1080"/>
        <w:jc w:val="both"/>
        <w:rPr>
          <w:sz w:val="22"/>
          <w:szCs w:val="22"/>
        </w:rPr>
      </w:pPr>
    </w:p>
    <w:p w14:paraId="095A58DF" w14:textId="77777777" w:rsidR="00C24A40" w:rsidRPr="001A3F6F" w:rsidRDefault="00C24A40" w:rsidP="00C24A40">
      <w:pPr>
        <w:pStyle w:val="ListParagraph"/>
        <w:spacing w:after="160"/>
        <w:ind w:left="1080"/>
        <w:jc w:val="both"/>
        <w:rPr>
          <w:sz w:val="22"/>
          <w:szCs w:val="22"/>
        </w:rPr>
      </w:pPr>
    </w:p>
    <w:p w14:paraId="6A101F54" w14:textId="457769BA" w:rsidR="00C24A40" w:rsidRPr="00C24A40" w:rsidRDefault="00C24A40" w:rsidP="00C24A40">
      <w:pPr>
        <w:spacing w:after="160"/>
        <w:jc w:val="both"/>
        <w:rPr>
          <w:sz w:val="22"/>
          <w:szCs w:val="22"/>
        </w:rPr>
      </w:pPr>
    </w:p>
    <w:sectPr w:rsidR="00C24A40" w:rsidRPr="00C2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21E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CE83626"/>
    <w:multiLevelType w:val="hybridMultilevel"/>
    <w:tmpl w:val="983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579A4"/>
    <w:multiLevelType w:val="hybridMultilevel"/>
    <w:tmpl w:val="B93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82391"/>
    <w:multiLevelType w:val="hybridMultilevel"/>
    <w:tmpl w:val="F0BC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F79E1"/>
    <w:multiLevelType w:val="hybridMultilevel"/>
    <w:tmpl w:val="20AC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44ED2"/>
    <w:multiLevelType w:val="hybridMultilevel"/>
    <w:tmpl w:val="0A2A3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229141">
    <w:abstractNumId w:val="0"/>
  </w:num>
  <w:num w:numId="2" w16cid:durableId="489367912">
    <w:abstractNumId w:val="5"/>
  </w:num>
  <w:num w:numId="3" w16cid:durableId="1983075291">
    <w:abstractNumId w:val="3"/>
  </w:num>
  <w:num w:numId="4" w16cid:durableId="504784631">
    <w:abstractNumId w:val="2"/>
  </w:num>
  <w:num w:numId="5" w16cid:durableId="1094859757">
    <w:abstractNumId w:val="1"/>
  </w:num>
  <w:num w:numId="6" w16cid:durableId="1370453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40"/>
    <w:rsid w:val="0078339B"/>
    <w:rsid w:val="008F46D7"/>
    <w:rsid w:val="00954A2A"/>
    <w:rsid w:val="00AA0AEE"/>
    <w:rsid w:val="00B613F5"/>
    <w:rsid w:val="00C24A40"/>
    <w:rsid w:val="00C7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0259"/>
  <w15:chartTrackingRefBased/>
  <w15:docId w15:val="{F16B1176-0023-4F6F-9EED-23A6B30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40"/>
    <w:pPr>
      <w:spacing w:after="0" w:line="240" w:lineRule="auto"/>
    </w:pPr>
    <w:rPr>
      <w:rFonts w:ascii="Arial" w:hAnsi="Arial" w:cs="Arial"/>
      <w:kern w:val="0"/>
      <w14:ligatures w14:val="none"/>
    </w:rPr>
  </w:style>
  <w:style w:type="paragraph" w:styleId="Heading1">
    <w:name w:val="heading 1"/>
    <w:basedOn w:val="Normal"/>
    <w:next w:val="Normal"/>
    <w:link w:val="Heading1Char"/>
    <w:uiPriority w:val="9"/>
    <w:qFormat/>
    <w:rsid w:val="00C24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A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A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A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A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A40"/>
    <w:rPr>
      <w:rFonts w:eastAsiaTheme="majorEastAsia" w:cstheme="majorBidi"/>
      <w:color w:val="272727" w:themeColor="text1" w:themeTint="D8"/>
    </w:rPr>
  </w:style>
  <w:style w:type="paragraph" w:styleId="Title">
    <w:name w:val="Title"/>
    <w:basedOn w:val="Normal"/>
    <w:next w:val="Normal"/>
    <w:link w:val="TitleChar"/>
    <w:uiPriority w:val="10"/>
    <w:qFormat/>
    <w:rsid w:val="00C24A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A40"/>
    <w:pPr>
      <w:spacing w:before="160"/>
      <w:jc w:val="center"/>
    </w:pPr>
    <w:rPr>
      <w:i/>
      <w:iCs/>
      <w:color w:val="404040" w:themeColor="text1" w:themeTint="BF"/>
    </w:rPr>
  </w:style>
  <w:style w:type="character" w:customStyle="1" w:styleId="QuoteChar">
    <w:name w:val="Quote Char"/>
    <w:basedOn w:val="DefaultParagraphFont"/>
    <w:link w:val="Quote"/>
    <w:uiPriority w:val="29"/>
    <w:rsid w:val="00C24A40"/>
    <w:rPr>
      <w:i/>
      <w:iCs/>
      <w:color w:val="404040" w:themeColor="text1" w:themeTint="BF"/>
    </w:rPr>
  </w:style>
  <w:style w:type="paragraph" w:styleId="ListParagraph">
    <w:name w:val="List Paragraph"/>
    <w:basedOn w:val="Normal"/>
    <w:uiPriority w:val="34"/>
    <w:qFormat/>
    <w:rsid w:val="00C24A40"/>
    <w:pPr>
      <w:ind w:left="720"/>
      <w:contextualSpacing/>
    </w:pPr>
  </w:style>
  <w:style w:type="character" w:styleId="IntenseEmphasis">
    <w:name w:val="Intense Emphasis"/>
    <w:basedOn w:val="DefaultParagraphFont"/>
    <w:uiPriority w:val="21"/>
    <w:qFormat/>
    <w:rsid w:val="00C24A40"/>
    <w:rPr>
      <w:i/>
      <w:iCs/>
      <w:color w:val="0F4761" w:themeColor="accent1" w:themeShade="BF"/>
    </w:rPr>
  </w:style>
  <w:style w:type="paragraph" w:styleId="IntenseQuote">
    <w:name w:val="Intense Quote"/>
    <w:basedOn w:val="Normal"/>
    <w:next w:val="Normal"/>
    <w:link w:val="IntenseQuoteChar"/>
    <w:uiPriority w:val="30"/>
    <w:qFormat/>
    <w:rsid w:val="00C24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A40"/>
    <w:rPr>
      <w:i/>
      <w:iCs/>
      <w:color w:val="0F4761" w:themeColor="accent1" w:themeShade="BF"/>
    </w:rPr>
  </w:style>
  <w:style w:type="character" w:styleId="IntenseReference">
    <w:name w:val="Intense Reference"/>
    <w:basedOn w:val="DefaultParagraphFont"/>
    <w:uiPriority w:val="32"/>
    <w:qFormat/>
    <w:rsid w:val="00C24A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programs-surveys/acs/"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A9477B1EAFA4D83B3DB2E29B543D3" ma:contentTypeVersion="4" ma:contentTypeDescription="Create a new document." ma:contentTypeScope="" ma:versionID="ab5dcfd92a9f80f8434de1f369a703c8">
  <xsd:schema xmlns:xsd="http://www.w3.org/2001/XMLSchema" xmlns:xs="http://www.w3.org/2001/XMLSchema" xmlns:p="http://schemas.microsoft.com/office/2006/metadata/properties" xmlns:ns1="http://schemas.microsoft.com/sharepoint/v3" xmlns:ns3="9c16dc54-5a24-4afd-a61c-664ec7eab416" targetNamespace="http://schemas.microsoft.com/office/2006/metadata/properties" ma:root="true" ma:fieldsID="9bec7aaf70063ea9faaaf00d9715fdd2" ns1:_="" ns3: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ma:index="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A48F19-B87B-4405-A482-C8CE10321E07}"/>
</file>

<file path=customXml/itemProps2.xml><?xml version="1.0" encoding="utf-8"?>
<ds:datastoreItem xmlns:ds="http://schemas.openxmlformats.org/officeDocument/2006/customXml" ds:itemID="{8E40E8DB-060D-4DE6-893D-D2F0D3D471A3}"/>
</file>

<file path=customXml/itemProps3.xml><?xml version="1.0" encoding="utf-8"?>
<ds:datastoreItem xmlns:ds="http://schemas.openxmlformats.org/officeDocument/2006/customXml" ds:itemID="{40A86687-6C83-46C7-BDA9-99C981B853EB}"/>
</file>

<file path=docProps/app.xml><?xml version="1.0" encoding="utf-8"?>
<Properties xmlns="http://schemas.openxmlformats.org/officeDocument/2006/extended-properties" xmlns:vt="http://schemas.openxmlformats.org/officeDocument/2006/docPropsVTypes">
  <Template>Normal</Template>
  <TotalTime>18</TotalTime>
  <Pages>6</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Ridgway, Nathan E (KYTC)</dc:creator>
  <cp:keywords/>
  <dc:description/>
  <cp:lastModifiedBy>Ridgway, Nathan E (KYTC)</cp:lastModifiedBy>
  <cp:revision>4</cp:revision>
  <dcterms:created xsi:type="dcterms:W3CDTF">2025-02-24T18:02:00Z</dcterms:created>
  <dcterms:modified xsi:type="dcterms:W3CDTF">2025-03-03T14:10:00Z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0x0101007A5A9477B1EAFA4D83B3DB2E29B543D3</vt:lpwstr>
  </property>
</Properties>
</file>