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96F3" w14:textId="77777777" w:rsidR="00CC230D" w:rsidRPr="004651AA" w:rsidRDefault="00000000" w:rsidP="007B5207">
      <w:pPr>
        <w:pStyle w:val="NoSpacing"/>
        <w:rPr>
          <w:rFonts w:ascii="Arial" w:hAnsi="Arial" w:cs="Arial"/>
          <w:b/>
          <w:bCs/>
          <w:color w:val="0070C0"/>
          <w:sz w:val="24"/>
          <w:szCs w:val="24"/>
        </w:rPr>
      </w:pPr>
      <w:r w:rsidRPr="004651AA">
        <w:rPr>
          <w:rFonts w:ascii="Arial" w:hAnsi="Arial" w:cs="Arial"/>
          <w:b/>
          <w:bCs/>
          <w:color w:val="0070C0"/>
          <w:sz w:val="24"/>
          <w:szCs w:val="24"/>
        </w:rPr>
        <w:t>Standard Drawing Reference Report</w:t>
      </w:r>
    </w:p>
    <w:p w14:paraId="30DAAAAC" w14:textId="70DE4CB2" w:rsidR="00454B48" w:rsidRPr="004651AA" w:rsidRDefault="00887E56" w:rsidP="007B5207">
      <w:pPr>
        <w:pStyle w:val="NoSpacing"/>
        <w:rPr>
          <w:rFonts w:ascii="Arial" w:hAnsi="Arial" w:cs="Arial"/>
        </w:rPr>
      </w:pPr>
      <w:bookmarkStart w:id="0" w:name="_Hlk197330151"/>
      <w:r w:rsidRPr="00887E56">
        <w:rPr>
          <w:rFonts w:ascii="Arial" w:hAnsi="Arial" w:cs="Arial"/>
        </w:rPr>
        <w:t>RBR-0</w:t>
      </w:r>
      <w:r w:rsidR="00D04AF7">
        <w:rPr>
          <w:rFonts w:ascii="Arial" w:hAnsi="Arial" w:cs="Arial"/>
        </w:rPr>
        <w:t>3</w:t>
      </w:r>
      <w:r w:rsidRPr="00887E56">
        <w:rPr>
          <w:rFonts w:ascii="Arial" w:hAnsi="Arial" w:cs="Arial"/>
        </w:rPr>
        <w:t xml:space="preserve">5 GUARDRAIL END TREATMENT TYPE </w:t>
      </w:r>
      <w:r w:rsidR="00D04AF7">
        <w:rPr>
          <w:rFonts w:ascii="Arial" w:hAnsi="Arial" w:cs="Arial"/>
        </w:rPr>
        <w:t>4A</w:t>
      </w:r>
      <w:r w:rsidR="00B55034">
        <w:rPr>
          <w:rFonts w:ascii="Arial" w:hAnsi="Arial" w:cs="Arial"/>
        </w:rPr>
        <w:t xml:space="preserve"> </w:t>
      </w:r>
    </w:p>
    <w:bookmarkEnd w:id="0"/>
    <w:p w14:paraId="5999AF88" w14:textId="779A95CE" w:rsidR="00454B48" w:rsidRPr="004651AA" w:rsidRDefault="00454B48" w:rsidP="007B5207">
      <w:pPr>
        <w:pStyle w:val="NoSpacing"/>
        <w:rPr>
          <w:rFonts w:ascii="Arial" w:hAnsi="Arial" w:cs="Arial"/>
        </w:rPr>
      </w:pPr>
      <w:r w:rsidRPr="004651AA">
        <w:rPr>
          <w:rFonts w:ascii="Arial" w:hAnsi="Arial" w:cs="Arial"/>
        </w:rPr>
        <w:t>Revision Number</w:t>
      </w:r>
      <w:r w:rsidR="00B55034">
        <w:rPr>
          <w:rFonts w:ascii="Arial" w:hAnsi="Arial" w:cs="Arial"/>
        </w:rPr>
        <w:t xml:space="preserve"> 0</w:t>
      </w:r>
      <w:r w:rsidR="0066145C">
        <w:rPr>
          <w:rFonts w:ascii="Arial" w:hAnsi="Arial" w:cs="Arial"/>
        </w:rPr>
        <w:t>1</w:t>
      </w:r>
      <w:r w:rsidR="00E469D7">
        <w:rPr>
          <w:rFonts w:ascii="Arial" w:hAnsi="Arial" w:cs="Arial"/>
        </w:rPr>
        <w:t>2</w:t>
      </w:r>
    </w:p>
    <w:p w14:paraId="750542B6" w14:textId="5FF6F6DA" w:rsidR="00454B48" w:rsidRDefault="00454B48" w:rsidP="007B5207">
      <w:pPr>
        <w:pStyle w:val="NoSpacing"/>
        <w:rPr>
          <w:rFonts w:ascii="Arial" w:hAnsi="Arial" w:cs="Arial"/>
        </w:rPr>
      </w:pPr>
      <w:r w:rsidRPr="004651AA">
        <w:rPr>
          <w:rFonts w:ascii="Arial" w:hAnsi="Arial" w:cs="Arial"/>
        </w:rPr>
        <w:t xml:space="preserve">Effective </w:t>
      </w:r>
      <w:r w:rsidRPr="00AE3E48">
        <w:rPr>
          <w:rFonts w:ascii="Arial" w:hAnsi="Arial" w:cs="Arial"/>
        </w:rPr>
        <w:t xml:space="preserve">with the </w:t>
      </w:r>
      <w:r w:rsidR="00D04AF7" w:rsidRPr="00AE3E48">
        <w:rPr>
          <w:rFonts w:ascii="Arial" w:hAnsi="Arial" w:cs="Arial"/>
        </w:rPr>
        <w:t>Ju</w:t>
      </w:r>
      <w:r w:rsidR="00C06C40" w:rsidRPr="00AE3E48">
        <w:rPr>
          <w:rFonts w:ascii="Arial" w:hAnsi="Arial" w:cs="Arial"/>
        </w:rPr>
        <w:t>ly</w:t>
      </w:r>
      <w:r w:rsidR="00B55034" w:rsidRPr="00AE3E48">
        <w:rPr>
          <w:rFonts w:ascii="Arial" w:hAnsi="Arial" w:cs="Arial"/>
        </w:rPr>
        <w:t xml:space="preserve"> </w:t>
      </w:r>
      <w:r w:rsidR="00C06C40" w:rsidRPr="00AE3E48">
        <w:rPr>
          <w:rFonts w:ascii="Arial" w:hAnsi="Arial" w:cs="Arial"/>
        </w:rPr>
        <w:t>18</w:t>
      </w:r>
      <w:r w:rsidR="00B55034" w:rsidRPr="00AE3E48">
        <w:rPr>
          <w:rFonts w:ascii="Arial" w:hAnsi="Arial" w:cs="Arial"/>
        </w:rPr>
        <w:t xml:space="preserve">, </w:t>
      </w:r>
      <w:proofErr w:type="gramStart"/>
      <w:r w:rsidR="00B55034" w:rsidRPr="00AE3E48">
        <w:rPr>
          <w:rFonts w:ascii="Arial" w:hAnsi="Arial" w:cs="Arial"/>
        </w:rPr>
        <w:t>202</w:t>
      </w:r>
      <w:r w:rsidR="00C06C40" w:rsidRPr="00AE3E48">
        <w:rPr>
          <w:rFonts w:ascii="Arial" w:hAnsi="Arial" w:cs="Arial"/>
        </w:rPr>
        <w:t>4</w:t>
      </w:r>
      <w:proofErr w:type="gramEnd"/>
      <w:r w:rsidRPr="004651AA">
        <w:rPr>
          <w:rFonts w:ascii="Arial" w:hAnsi="Arial" w:cs="Arial"/>
        </w:rPr>
        <w:t xml:space="preserve"> Letting</w:t>
      </w:r>
    </w:p>
    <w:p w14:paraId="76B08F2C" w14:textId="77777777" w:rsidR="004651AA" w:rsidRDefault="004651AA" w:rsidP="007B5207">
      <w:pPr>
        <w:pStyle w:val="NoSpacing"/>
        <w:rPr>
          <w:rFonts w:ascii="Arial" w:hAnsi="Arial" w:cs="Arial"/>
        </w:rPr>
      </w:pPr>
    </w:p>
    <w:p w14:paraId="20581008" w14:textId="77777777" w:rsidR="002158AD" w:rsidRPr="004651AA" w:rsidRDefault="002158AD" w:rsidP="007B5207">
      <w:pPr>
        <w:pStyle w:val="NoSpacing"/>
        <w:rPr>
          <w:rFonts w:ascii="Arial" w:hAnsi="Arial" w:cs="Arial"/>
        </w:rPr>
      </w:pPr>
      <w:r w:rsidRPr="004651AA">
        <w:rPr>
          <w:rFonts w:ascii="Arial" w:hAnsi="Arial" w:cs="Arial"/>
          <w:color w:val="0066CC"/>
          <w:sz w:val="24"/>
        </w:rPr>
        <w:t>Design Notes</w:t>
      </w:r>
    </w:p>
    <w:p w14:paraId="2FC9A9EA" w14:textId="720E9A31" w:rsidR="00E37B51" w:rsidRDefault="005E0C13" w:rsidP="005906AB">
      <w:pPr>
        <w:pStyle w:val="NoSpacing"/>
        <w:jc w:val="both"/>
        <w:rPr>
          <w:rFonts w:ascii="Arial" w:hAnsi="Arial" w:cs="Arial"/>
        </w:rPr>
      </w:pPr>
      <w:r w:rsidRPr="005E0C13">
        <w:rPr>
          <w:rFonts w:ascii="Arial" w:hAnsi="Arial" w:cs="Arial"/>
        </w:rPr>
        <w:t>The Type 4A</w:t>
      </w:r>
      <w:r w:rsidR="007B5207">
        <w:rPr>
          <w:rFonts w:ascii="Arial" w:hAnsi="Arial" w:cs="Arial"/>
        </w:rPr>
        <w:t xml:space="preserve"> end treatment</w:t>
      </w:r>
      <w:r w:rsidRPr="005E0C13">
        <w:rPr>
          <w:rFonts w:ascii="Arial" w:hAnsi="Arial" w:cs="Arial"/>
        </w:rPr>
        <w:t xml:space="preserve"> is a proprietary, single-sided guardrail end treatment known as the MFLEAT</w:t>
      </w:r>
      <w:r w:rsidR="007B5207">
        <w:rPr>
          <w:rFonts w:ascii="Arial" w:hAnsi="Arial" w:cs="Arial"/>
        </w:rPr>
        <w:t>. It is</w:t>
      </w:r>
      <w:r w:rsidRPr="005E0C13">
        <w:rPr>
          <w:rFonts w:ascii="Arial" w:hAnsi="Arial" w:cs="Arial"/>
        </w:rPr>
        <w:t xml:space="preserve"> manufactured and sold by Road Systems Inc. </w:t>
      </w:r>
      <w:r w:rsidR="002F492C">
        <w:rPr>
          <w:rFonts w:ascii="Arial" w:hAnsi="Arial" w:cs="Arial"/>
        </w:rPr>
        <w:t>as well as</w:t>
      </w:r>
      <w:r w:rsidR="002F492C" w:rsidRPr="005E0C13">
        <w:rPr>
          <w:rFonts w:ascii="Arial" w:hAnsi="Arial" w:cs="Arial"/>
        </w:rPr>
        <w:t xml:space="preserve"> </w:t>
      </w:r>
      <w:r w:rsidRPr="005E0C13">
        <w:rPr>
          <w:rFonts w:ascii="Arial" w:hAnsi="Arial" w:cs="Arial"/>
        </w:rPr>
        <w:t>its authorized representatives.</w:t>
      </w:r>
      <w:r w:rsidR="000A2A1E">
        <w:rPr>
          <w:rFonts w:ascii="Arial" w:hAnsi="Arial" w:cs="Arial"/>
        </w:rPr>
        <w:t xml:space="preserve"> </w:t>
      </w:r>
      <w:r w:rsidR="000A2A1E" w:rsidRPr="000A2A1E">
        <w:rPr>
          <w:rFonts w:ascii="Arial" w:hAnsi="Arial" w:cs="Arial"/>
        </w:rPr>
        <w:t>Detailed information is contained in the manufacturer’s installation manual (see QR code on Standard Drawing).</w:t>
      </w:r>
    </w:p>
    <w:p w14:paraId="2EC9AA5D" w14:textId="77777777" w:rsidR="005E0C13" w:rsidRDefault="005E0C13" w:rsidP="007B5207">
      <w:pPr>
        <w:pStyle w:val="NoSpacing"/>
        <w:rPr>
          <w:rFonts w:ascii="Arial" w:hAnsi="Arial" w:cs="Arial"/>
        </w:rPr>
      </w:pPr>
    </w:p>
    <w:p w14:paraId="5846DE71" w14:textId="681DFA33" w:rsidR="001C5B44" w:rsidRDefault="001C5B44" w:rsidP="005906AB">
      <w:pPr>
        <w:spacing w:after="0" w:line="240" w:lineRule="auto"/>
        <w:jc w:val="both"/>
        <w:rPr>
          <w:rFonts w:ascii="Arial" w:hAnsi="Arial" w:cs="Arial"/>
        </w:rPr>
      </w:pPr>
      <w:r w:rsidRPr="001C5B44">
        <w:rPr>
          <w:rFonts w:ascii="Arial" w:hAnsi="Arial" w:cs="Arial"/>
        </w:rPr>
        <w:t xml:space="preserve">The MFLEAT is a flared, energy-absorbing guardrail end terminal </w:t>
      </w:r>
      <w:r w:rsidR="007B5207">
        <w:rPr>
          <w:rFonts w:ascii="Arial" w:hAnsi="Arial" w:cs="Arial"/>
        </w:rPr>
        <w:t>that</w:t>
      </w:r>
      <w:r w:rsidRPr="001C5B44">
        <w:rPr>
          <w:rFonts w:ascii="Arial" w:hAnsi="Arial" w:cs="Arial"/>
        </w:rPr>
        <w:t xml:space="preserve"> meet</w:t>
      </w:r>
      <w:r w:rsidR="007B5207">
        <w:rPr>
          <w:rFonts w:ascii="Arial" w:hAnsi="Arial" w:cs="Arial"/>
        </w:rPr>
        <w:t>s</w:t>
      </w:r>
      <w:r w:rsidRPr="001C5B44">
        <w:rPr>
          <w:rFonts w:ascii="Arial" w:hAnsi="Arial" w:cs="Arial"/>
        </w:rPr>
        <w:t xml:space="preserve"> MASH Test Level 3 crash testing criteria. It is used with </w:t>
      </w:r>
      <w:r>
        <w:rPr>
          <w:rFonts w:ascii="Arial" w:hAnsi="Arial" w:cs="Arial"/>
        </w:rPr>
        <w:t xml:space="preserve">MGS </w:t>
      </w:r>
      <w:proofErr w:type="gramStart"/>
      <w:r w:rsidRPr="001C5B44">
        <w:rPr>
          <w:rFonts w:ascii="Arial" w:hAnsi="Arial" w:cs="Arial"/>
        </w:rPr>
        <w:t>31</w:t>
      </w:r>
      <w:r w:rsidR="008D550A">
        <w:rPr>
          <w:rFonts w:ascii="Arial" w:hAnsi="Arial" w:cs="Arial"/>
        </w:rPr>
        <w:t>-</w:t>
      </w:r>
      <w:r w:rsidRPr="001C5B44">
        <w:rPr>
          <w:rFonts w:ascii="Arial" w:hAnsi="Arial" w:cs="Arial"/>
        </w:rPr>
        <w:t>inch tall</w:t>
      </w:r>
      <w:proofErr w:type="gramEnd"/>
      <w:r w:rsidRPr="001C5B44">
        <w:rPr>
          <w:rFonts w:ascii="Arial" w:hAnsi="Arial" w:cs="Arial"/>
        </w:rPr>
        <w:t xml:space="preserve"> W-beam </w:t>
      </w:r>
      <w:r w:rsidR="00062CC1">
        <w:rPr>
          <w:rFonts w:ascii="Arial" w:hAnsi="Arial" w:cs="Arial"/>
        </w:rPr>
        <w:t>barrier</w:t>
      </w:r>
      <w:r w:rsidRPr="001C5B44">
        <w:rPr>
          <w:rFonts w:ascii="Arial" w:hAnsi="Arial" w:cs="Arial"/>
        </w:rPr>
        <w:t xml:space="preserve"> and </w:t>
      </w:r>
      <w:r w:rsidR="00E469D7" w:rsidRPr="00E469D7">
        <w:rPr>
          <w:rFonts w:ascii="Arial" w:hAnsi="Arial" w:cs="Arial"/>
        </w:rPr>
        <w:t>installed with a 3-foot lateral offset at the terminal’s end</w:t>
      </w:r>
      <w:r w:rsidRPr="001C5B44">
        <w:rPr>
          <w:rFonts w:ascii="Arial" w:hAnsi="Arial" w:cs="Arial"/>
        </w:rPr>
        <w:t xml:space="preserve">, in accordance with the manufacturer’s assembly instructions. The flared design helps reduce nuisance impacts from errant vehicles at shallow angles. </w:t>
      </w:r>
      <w:r w:rsidR="005E0C13" w:rsidRPr="005E0C13">
        <w:rPr>
          <w:rFonts w:ascii="Arial" w:hAnsi="Arial" w:cs="Arial"/>
        </w:rPr>
        <w:t>The system is engineered to redirect, gate, or bring vehicles to a controlled stop, depending on the angle and severity of impact.</w:t>
      </w:r>
    </w:p>
    <w:p w14:paraId="1DD09F4A" w14:textId="77777777" w:rsidR="007B5207" w:rsidRPr="001C5B44" w:rsidRDefault="007B5207" w:rsidP="007B5207">
      <w:pPr>
        <w:spacing w:after="0" w:line="240" w:lineRule="auto"/>
        <w:rPr>
          <w:rFonts w:ascii="Arial" w:hAnsi="Arial" w:cs="Arial"/>
        </w:rPr>
      </w:pPr>
    </w:p>
    <w:p w14:paraId="4B0C1F8D" w14:textId="089434C4" w:rsidR="008D550A" w:rsidRDefault="00F235AD" w:rsidP="005906AB">
      <w:pPr>
        <w:spacing w:after="0" w:line="240" w:lineRule="auto"/>
        <w:jc w:val="both"/>
        <w:rPr>
          <w:rFonts w:ascii="Arial" w:hAnsi="Arial" w:cs="Arial"/>
        </w:rPr>
      </w:pPr>
      <w:r w:rsidRPr="00F235AD">
        <w:rPr>
          <w:rFonts w:ascii="Arial" w:hAnsi="Arial" w:cs="Arial"/>
        </w:rPr>
        <w:t>The Type 4A end treatment is used at the leading end of a guardrail run where there is sufficient lateral space for the flare, or at the trailing end when it is within the clear zone of opposing traffic. Adequate clear zone must be provided behind this gating terminal to allow for vehicle recovery.</w:t>
      </w:r>
    </w:p>
    <w:p w14:paraId="0B9FC071" w14:textId="77777777" w:rsidR="007B5207" w:rsidRPr="008D550A" w:rsidRDefault="007B5207" w:rsidP="007B5207">
      <w:pPr>
        <w:spacing w:after="0" w:line="240" w:lineRule="auto"/>
        <w:rPr>
          <w:rFonts w:ascii="Arial" w:hAnsi="Arial" w:cs="Arial"/>
        </w:rPr>
      </w:pPr>
    </w:p>
    <w:p w14:paraId="24F29CE1" w14:textId="699640B6" w:rsidR="002158AD" w:rsidRDefault="008D550A" w:rsidP="005906AB">
      <w:pPr>
        <w:pStyle w:val="NoSpacing"/>
        <w:jc w:val="both"/>
        <w:rPr>
          <w:rFonts w:ascii="Arial" w:hAnsi="Arial" w:cs="Arial"/>
        </w:rPr>
      </w:pPr>
      <w:r w:rsidRPr="008D550A">
        <w:rPr>
          <w:rFonts w:ascii="Arial" w:hAnsi="Arial" w:cs="Arial"/>
        </w:rPr>
        <w:t xml:space="preserve">Review drainage and grading conditions near the Type 4A end treatment early in the </w:t>
      </w:r>
      <w:r w:rsidR="00F235AD">
        <w:rPr>
          <w:rFonts w:ascii="Arial" w:hAnsi="Arial" w:cs="Arial"/>
        </w:rPr>
        <w:t xml:space="preserve">roadway </w:t>
      </w:r>
      <w:r w:rsidRPr="008D550A">
        <w:rPr>
          <w:rFonts w:ascii="Arial" w:hAnsi="Arial" w:cs="Arial"/>
        </w:rPr>
        <w:t xml:space="preserve">design process. Additional </w:t>
      </w:r>
      <w:proofErr w:type="gramStart"/>
      <w:r w:rsidRPr="008D550A">
        <w:rPr>
          <w:rFonts w:ascii="Arial" w:hAnsi="Arial" w:cs="Arial"/>
        </w:rPr>
        <w:t>right</w:t>
      </w:r>
      <w:proofErr w:type="gramEnd"/>
      <w:r w:rsidR="007B5207">
        <w:rPr>
          <w:rFonts w:ascii="Arial" w:hAnsi="Arial" w:cs="Arial"/>
        </w:rPr>
        <w:t xml:space="preserve"> </w:t>
      </w:r>
      <w:r w:rsidRPr="008D550A">
        <w:rPr>
          <w:rFonts w:ascii="Arial" w:hAnsi="Arial" w:cs="Arial"/>
        </w:rPr>
        <w:t>of</w:t>
      </w:r>
      <w:r w:rsidR="007B5207">
        <w:rPr>
          <w:rFonts w:ascii="Arial" w:hAnsi="Arial" w:cs="Arial"/>
        </w:rPr>
        <w:t xml:space="preserve"> </w:t>
      </w:r>
      <w:r w:rsidRPr="008D550A">
        <w:rPr>
          <w:rFonts w:ascii="Arial" w:hAnsi="Arial" w:cs="Arial"/>
        </w:rPr>
        <w:t xml:space="preserve">way may be required to accommodate necessary grading and drainage features in this area. </w:t>
      </w:r>
      <w:r w:rsidR="007F7788">
        <w:rPr>
          <w:rFonts w:ascii="Arial" w:hAnsi="Arial" w:cs="Arial"/>
        </w:rPr>
        <w:t>Because t</w:t>
      </w:r>
      <w:r w:rsidRPr="008D550A">
        <w:rPr>
          <w:rFonts w:ascii="Arial" w:hAnsi="Arial" w:cs="Arial"/>
        </w:rPr>
        <w:t>he Type 4A</w:t>
      </w:r>
      <w:r w:rsidR="007B5207">
        <w:rPr>
          <w:rFonts w:ascii="Arial" w:hAnsi="Arial" w:cs="Arial"/>
        </w:rPr>
        <w:t xml:space="preserve"> end treatment</w:t>
      </w:r>
      <w:r w:rsidRPr="008D550A">
        <w:rPr>
          <w:rFonts w:ascii="Arial" w:hAnsi="Arial" w:cs="Arial"/>
        </w:rPr>
        <w:t xml:space="preserve"> provides structural support for the entire guardrail system, inadequate grading at the terminal location may compromise </w:t>
      </w:r>
      <w:r w:rsidR="00827635">
        <w:rPr>
          <w:rFonts w:ascii="Arial" w:hAnsi="Arial" w:cs="Arial"/>
        </w:rPr>
        <w:t>its</w:t>
      </w:r>
      <w:r w:rsidRPr="008D550A">
        <w:rPr>
          <w:rFonts w:ascii="Arial" w:hAnsi="Arial" w:cs="Arial"/>
        </w:rPr>
        <w:t xml:space="preserve"> performance.</w:t>
      </w:r>
    </w:p>
    <w:p w14:paraId="2EF67CAB" w14:textId="77777777" w:rsidR="008D550A" w:rsidRDefault="008D550A" w:rsidP="007B5207">
      <w:pPr>
        <w:pStyle w:val="NoSpacing"/>
        <w:rPr>
          <w:rFonts w:ascii="Arial" w:hAnsi="Arial" w:cs="Arial"/>
        </w:rPr>
      </w:pPr>
    </w:p>
    <w:p w14:paraId="0A793171" w14:textId="01187C22" w:rsidR="002158AD" w:rsidRDefault="00F93B26" w:rsidP="005906AB">
      <w:pPr>
        <w:pStyle w:val="NoSpacing"/>
        <w:jc w:val="both"/>
        <w:rPr>
          <w:rFonts w:ascii="Arial" w:hAnsi="Arial" w:cs="Arial"/>
        </w:rPr>
      </w:pPr>
      <w:r>
        <w:rPr>
          <w:rFonts w:ascii="Arial" w:hAnsi="Arial" w:cs="Arial"/>
        </w:rPr>
        <w:t xml:space="preserve">The </w:t>
      </w:r>
      <w:r w:rsidR="008D550A" w:rsidRPr="008D550A">
        <w:rPr>
          <w:rFonts w:ascii="Arial" w:hAnsi="Arial" w:cs="Arial"/>
        </w:rPr>
        <w:t xml:space="preserve">Type 4A end treatment </w:t>
      </w:r>
      <w:r w:rsidR="00FC2735" w:rsidRPr="00FC2735">
        <w:rPr>
          <w:rFonts w:ascii="Arial" w:hAnsi="Arial" w:cs="Arial"/>
        </w:rPr>
        <w:t>gate</w:t>
      </w:r>
      <w:r>
        <w:rPr>
          <w:rFonts w:ascii="Arial" w:hAnsi="Arial" w:cs="Arial"/>
        </w:rPr>
        <w:t>s</w:t>
      </w:r>
      <w:r w:rsidR="00FC2735" w:rsidRPr="00FC2735">
        <w:rPr>
          <w:rFonts w:ascii="Arial" w:hAnsi="Arial" w:cs="Arial"/>
        </w:rPr>
        <w:t xml:space="preserve"> at </w:t>
      </w:r>
      <w:r w:rsidR="00240410">
        <w:rPr>
          <w:rFonts w:ascii="Arial" w:hAnsi="Arial" w:cs="Arial"/>
        </w:rPr>
        <w:t>P</w:t>
      </w:r>
      <w:r w:rsidR="00FC2735" w:rsidRPr="00FC2735">
        <w:rPr>
          <w:rFonts w:ascii="Arial" w:hAnsi="Arial" w:cs="Arial"/>
        </w:rPr>
        <w:t>osts 1</w:t>
      </w:r>
      <w:r w:rsidR="007B5207">
        <w:rPr>
          <w:rFonts w:ascii="Arial" w:hAnsi="Arial" w:cs="Arial"/>
        </w:rPr>
        <w:t xml:space="preserve"> – </w:t>
      </w:r>
      <w:r w:rsidR="008D550A">
        <w:rPr>
          <w:rFonts w:ascii="Arial" w:hAnsi="Arial" w:cs="Arial"/>
        </w:rPr>
        <w:t>4</w:t>
      </w:r>
      <w:r w:rsidR="007B5207">
        <w:rPr>
          <w:rFonts w:ascii="Arial" w:hAnsi="Arial" w:cs="Arial"/>
        </w:rPr>
        <w:t>. This</w:t>
      </w:r>
      <w:r w:rsidR="008D550A">
        <w:rPr>
          <w:rFonts w:ascii="Arial" w:hAnsi="Arial" w:cs="Arial"/>
        </w:rPr>
        <w:t xml:space="preserve"> </w:t>
      </w:r>
      <w:r w:rsidR="00FC2735" w:rsidRPr="00FC2735">
        <w:rPr>
          <w:rFonts w:ascii="Arial" w:hAnsi="Arial" w:cs="Arial"/>
        </w:rPr>
        <w:t>mean</w:t>
      </w:r>
      <w:r w:rsidR="007B5207">
        <w:rPr>
          <w:rFonts w:ascii="Arial" w:hAnsi="Arial" w:cs="Arial"/>
        </w:rPr>
        <w:t>s</w:t>
      </w:r>
      <w:r w:rsidR="00FC2735" w:rsidRPr="00FC2735">
        <w:rPr>
          <w:rFonts w:ascii="Arial" w:hAnsi="Arial" w:cs="Arial"/>
        </w:rPr>
        <w:t xml:space="preserve"> the </w:t>
      </w:r>
      <w:r w:rsidR="00F17D95" w:rsidRPr="008D550A">
        <w:rPr>
          <w:rFonts w:ascii="Arial" w:hAnsi="Arial" w:cs="Arial"/>
        </w:rPr>
        <w:t xml:space="preserve">end treatment </w:t>
      </w:r>
      <w:r w:rsidR="00FC2735" w:rsidRPr="00FC2735">
        <w:rPr>
          <w:rFonts w:ascii="Arial" w:hAnsi="Arial" w:cs="Arial"/>
        </w:rPr>
        <w:t>allows</w:t>
      </w:r>
      <w:r w:rsidR="00240410">
        <w:rPr>
          <w:rFonts w:ascii="Arial" w:hAnsi="Arial" w:cs="Arial"/>
        </w:rPr>
        <w:t xml:space="preserve"> an impacting </w:t>
      </w:r>
      <w:r w:rsidR="00FC2735" w:rsidRPr="00FC2735">
        <w:rPr>
          <w:rFonts w:ascii="Arial" w:hAnsi="Arial" w:cs="Arial"/>
        </w:rPr>
        <w:t>vehicle to pass through the end of the barrier, rather than redirect</w:t>
      </w:r>
      <w:r w:rsidR="007B5207">
        <w:rPr>
          <w:rFonts w:ascii="Arial" w:hAnsi="Arial" w:cs="Arial"/>
        </w:rPr>
        <w:t>ing</w:t>
      </w:r>
      <w:r w:rsidR="00FC2735" w:rsidRPr="00FC2735">
        <w:rPr>
          <w:rFonts w:ascii="Arial" w:hAnsi="Arial" w:cs="Arial"/>
        </w:rPr>
        <w:t xml:space="preserve"> or contain</w:t>
      </w:r>
      <w:r w:rsidR="007B5207">
        <w:rPr>
          <w:rFonts w:ascii="Arial" w:hAnsi="Arial" w:cs="Arial"/>
        </w:rPr>
        <w:t>ing</w:t>
      </w:r>
      <w:r w:rsidR="00FC2735" w:rsidRPr="00FC2735">
        <w:rPr>
          <w:rFonts w:ascii="Arial" w:hAnsi="Arial" w:cs="Arial"/>
        </w:rPr>
        <w:t xml:space="preserve"> it. Therefore, the </w:t>
      </w:r>
      <w:r w:rsidR="00F17D95" w:rsidRPr="008D550A">
        <w:rPr>
          <w:rFonts w:ascii="Arial" w:hAnsi="Arial" w:cs="Arial"/>
        </w:rPr>
        <w:t xml:space="preserve">end treatment </w:t>
      </w:r>
      <w:r w:rsidR="00FC2735" w:rsidRPr="00FC2735">
        <w:rPr>
          <w:rFonts w:ascii="Arial" w:hAnsi="Arial" w:cs="Arial"/>
        </w:rPr>
        <w:t xml:space="preserve">is not intended to shield fixed objects located within the gating zone, which extends perpendicular to </w:t>
      </w:r>
      <w:r w:rsidR="00240410">
        <w:rPr>
          <w:rFonts w:ascii="Arial" w:hAnsi="Arial" w:cs="Arial"/>
        </w:rPr>
        <w:t>P</w:t>
      </w:r>
      <w:r w:rsidR="00FC2735" w:rsidRPr="00FC2735">
        <w:rPr>
          <w:rFonts w:ascii="Arial" w:hAnsi="Arial" w:cs="Arial"/>
        </w:rPr>
        <w:t xml:space="preserve">osts 1 </w:t>
      </w:r>
      <w:r w:rsidR="007B5207">
        <w:rPr>
          <w:rFonts w:ascii="Arial" w:hAnsi="Arial" w:cs="Arial"/>
        </w:rPr>
        <w:t>–</w:t>
      </w:r>
      <w:r w:rsidR="007B5207" w:rsidRPr="00FC2735">
        <w:rPr>
          <w:rFonts w:ascii="Arial" w:hAnsi="Arial" w:cs="Arial"/>
        </w:rPr>
        <w:t xml:space="preserve"> </w:t>
      </w:r>
      <w:r w:rsidR="00F17D95">
        <w:rPr>
          <w:rFonts w:ascii="Arial" w:hAnsi="Arial" w:cs="Arial"/>
        </w:rPr>
        <w:t>4</w:t>
      </w:r>
      <w:r w:rsidR="00FC2735" w:rsidRPr="00FC2735">
        <w:rPr>
          <w:rFonts w:ascii="Arial" w:hAnsi="Arial" w:cs="Arial"/>
        </w:rPr>
        <w:t xml:space="preserve">. </w:t>
      </w:r>
      <w:r w:rsidR="00240410">
        <w:rPr>
          <w:rFonts w:ascii="Arial" w:hAnsi="Arial" w:cs="Arial"/>
        </w:rPr>
        <w:t>Installation of the end treatment</w:t>
      </w:r>
      <w:r w:rsidR="00240410" w:rsidRPr="00FC2735">
        <w:rPr>
          <w:rFonts w:ascii="Arial" w:hAnsi="Arial" w:cs="Arial"/>
        </w:rPr>
        <w:t xml:space="preserve"> </w:t>
      </w:r>
      <w:r w:rsidR="00FC2735" w:rsidRPr="00FC2735">
        <w:rPr>
          <w:rFonts w:ascii="Arial" w:hAnsi="Arial" w:cs="Arial"/>
        </w:rPr>
        <w:t xml:space="preserve">must </w:t>
      </w:r>
      <w:r w:rsidR="00240410">
        <w:rPr>
          <w:rFonts w:ascii="Arial" w:hAnsi="Arial" w:cs="Arial"/>
        </w:rPr>
        <w:t>keep</w:t>
      </w:r>
      <w:r w:rsidR="00240410" w:rsidRPr="00FC2735">
        <w:rPr>
          <w:rFonts w:ascii="Arial" w:hAnsi="Arial" w:cs="Arial"/>
        </w:rPr>
        <w:t xml:space="preserve"> </w:t>
      </w:r>
      <w:r w:rsidR="00FC2735" w:rsidRPr="00FC2735">
        <w:rPr>
          <w:rFonts w:ascii="Arial" w:hAnsi="Arial" w:cs="Arial"/>
        </w:rPr>
        <w:t xml:space="preserve">this area free of obstacles. If fixed objects are present within the proposed gating area, consider extending the guardrail to shift the gating zone </w:t>
      </w:r>
      <w:r w:rsidR="00F235AD" w:rsidRPr="00F235AD">
        <w:rPr>
          <w:rFonts w:ascii="Arial" w:hAnsi="Arial" w:cs="Arial"/>
        </w:rPr>
        <w:t>beyond the fixed object.</w:t>
      </w:r>
    </w:p>
    <w:p w14:paraId="666A7D63" w14:textId="77777777" w:rsidR="002158AD" w:rsidRDefault="002158AD" w:rsidP="007B5207">
      <w:pPr>
        <w:pStyle w:val="NoSpacing"/>
        <w:rPr>
          <w:rFonts w:ascii="Arial" w:hAnsi="Arial" w:cs="Arial"/>
        </w:rPr>
      </w:pPr>
    </w:p>
    <w:p w14:paraId="225C0E69" w14:textId="05BCFEDC" w:rsidR="0083326B" w:rsidRDefault="00FC2735" w:rsidP="005906AB">
      <w:pPr>
        <w:pStyle w:val="NoSpacing"/>
        <w:jc w:val="both"/>
        <w:rPr>
          <w:rFonts w:ascii="Arial" w:hAnsi="Arial" w:cs="Arial"/>
        </w:rPr>
      </w:pPr>
      <w:r w:rsidRPr="00FC2735">
        <w:rPr>
          <w:rFonts w:ascii="Arial" w:hAnsi="Arial" w:cs="Arial"/>
        </w:rPr>
        <w:t xml:space="preserve">From </w:t>
      </w:r>
      <w:r w:rsidR="00233857">
        <w:rPr>
          <w:rFonts w:ascii="Arial" w:hAnsi="Arial" w:cs="Arial"/>
        </w:rPr>
        <w:t>P</w:t>
      </w:r>
      <w:r w:rsidRPr="00FC2735">
        <w:rPr>
          <w:rFonts w:ascii="Arial" w:hAnsi="Arial" w:cs="Arial"/>
        </w:rPr>
        <w:t xml:space="preserve">ost 4 onward, the guardrail system anchored by the </w:t>
      </w:r>
      <w:r w:rsidR="002E588F" w:rsidRPr="008D550A">
        <w:rPr>
          <w:rFonts w:ascii="Arial" w:hAnsi="Arial" w:cs="Arial"/>
        </w:rPr>
        <w:t xml:space="preserve">Type 4A end treatment </w:t>
      </w:r>
      <w:r w:rsidRPr="00FC2735">
        <w:rPr>
          <w:rFonts w:ascii="Arial" w:hAnsi="Arial" w:cs="Arial"/>
        </w:rPr>
        <w:t>is designed to redirect impacting vehicles. Ensure no rigid objects are placed adjacent to the barrier within the system’s working width</w:t>
      </w:r>
      <w:r>
        <w:rPr>
          <w:rFonts w:ascii="Arial" w:hAnsi="Arial" w:cs="Arial"/>
        </w:rPr>
        <w:t xml:space="preserve"> </w:t>
      </w:r>
      <w:r w:rsidR="007B5207">
        <w:rPr>
          <w:rFonts w:ascii="Arial" w:hAnsi="Arial" w:cs="Arial"/>
        </w:rPr>
        <w:t xml:space="preserve">— </w:t>
      </w:r>
      <w:r w:rsidRPr="00FC2735">
        <w:rPr>
          <w:rFonts w:ascii="Arial" w:hAnsi="Arial" w:cs="Arial"/>
        </w:rPr>
        <w:t xml:space="preserve">60 inches for </w:t>
      </w:r>
      <w:r w:rsidR="00F235AD" w:rsidRPr="00F235AD">
        <w:rPr>
          <w:rFonts w:ascii="Arial" w:hAnsi="Arial" w:cs="Arial"/>
        </w:rPr>
        <w:t xml:space="preserve">Midwest Guardrail System </w:t>
      </w:r>
      <w:r w:rsidR="007B5207">
        <w:rPr>
          <w:rFonts w:ascii="Arial" w:hAnsi="Arial" w:cs="Arial"/>
        </w:rPr>
        <w:t xml:space="preserve">— </w:t>
      </w:r>
      <w:r w:rsidRPr="00FC2735">
        <w:rPr>
          <w:rFonts w:ascii="Arial" w:hAnsi="Arial" w:cs="Arial"/>
        </w:rPr>
        <w:t xml:space="preserve">as </w:t>
      </w:r>
      <w:r w:rsidR="00E91120">
        <w:rPr>
          <w:rFonts w:ascii="Arial" w:hAnsi="Arial" w:cs="Arial"/>
        </w:rPr>
        <w:t>they</w:t>
      </w:r>
      <w:r w:rsidRPr="00FC2735">
        <w:rPr>
          <w:rFonts w:ascii="Arial" w:hAnsi="Arial" w:cs="Arial"/>
        </w:rPr>
        <w:t xml:space="preserve"> may interfere with </w:t>
      </w:r>
      <w:r w:rsidR="00F6794D">
        <w:rPr>
          <w:rFonts w:ascii="Arial" w:hAnsi="Arial" w:cs="Arial"/>
        </w:rPr>
        <w:t xml:space="preserve">guardrail </w:t>
      </w:r>
      <w:r w:rsidRPr="00FC2735">
        <w:rPr>
          <w:rFonts w:ascii="Arial" w:hAnsi="Arial" w:cs="Arial"/>
        </w:rPr>
        <w:t>performance.</w:t>
      </w:r>
    </w:p>
    <w:p w14:paraId="647558D8" w14:textId="77777777" w:rsidR="0083326B" w:rsidRPr="00931E54" w:rsidRDefault="0083326B" w:rsidP="007B5207">
      <w:pPr>
        <w:pStyle w:val="NoSpacing"/>
        <w:rPr>
          <w:rFonts w:ascii="Arial" w:hAnsi="Arial" w:cs="Arial"/>
        </w:rPr>
      </w:pPr>
    </w:p>
    <w:p w14:paraId="34678694" w14:textId="5F1D3C81" w:rsidR="00A71430" w:rsidRDefault="00A71430" w:rsidP="005906AB">
      <w:pPr>
        <w:pStyle w:val="NoSpacing"/>
        <w:jc w:val="both"/>
        <w:rPr>
          <w:rFonts w:ascii="Arial" w:hAnsi="Arial" w:cs="Arial"/>
        </w:rPr>
      </w:pPr>
      <w:r w:rsidRPr="00A71430">
        <w:rPr>
          <w:rFonts w:ascii="Arial" w:hAnsi="Arial" w:cs="Arial"/>
        </w:rPr>
        <w:t>When curb and gutter are present with guardrail, transition to lip curb and gutter or island curb and gutter (</w:t>
      </w:r>
      <w:r>
        <w:rPr>
          <w:rFonts w:ascii="Arial" w:hAnsi="Arial" w:cs="Arial"/>
        </w:rPr>
        <w:t xml:space="preserve">see </w:t>
      </w:r>
      <w:r w:rsidRPr="00A71430">
        <w:rPr>
          <w:rFonts w:ascii="Arial" w:hAnsi="Arial" w:cs="Arial"/>
        </w:rPr>
        <w:t xml:space="preserve">RPM-100) </w:t>
      </w:r>
      <w:r w:rsidR="000A1EB3">
        <w:rPr>
          <w:rFonts w:ascii="Arial" w:hAnsi="Arial" w:cs="Arial"/>
        </w:rPr>
        <w:t xml:space="preserve">at </w:t>
      </w:r>
      <w:r w:rsidR="008D7AD9">
        <w:rPr>
          <w:rFonts w:ascii="Arial" w:hAnsi="Arial" w:cs="Arial"/>
        </w:rPr>
        <w:t>P</w:t>
      </w:r>
      <w:r w:rsidRPr="00A71430">
        <w:rPr>
          <w:rFonts w:ascii="Arial" w:hAnsi="Arial" w:cs="Arial"/>
        </w:rPr>
        <w:t xml:space="preserve">ost </w:t>
      </w:r>
      <w:r w:rsidR="000A1EB3">
        <w:rPr>
          <w:rFonts w:ascii="Arial" w:hAnsi="Arial" w:cs="Arial"/>
        </w:rPr>
        <w:t>10</w:t>
      </w:r>
      <w:r w:rsidRPr="00A71430">
        <w:rPr>
          <w:rFonts w:ascii="Arial" w:hAnsi="Arial" w:cs="Arial"/>
        </w:rPr>
        <w:t xml:space="preserve"> of the Type </w:t>
      </w:r>
      <w:r w:rsidR="009042C7">
        <w:rPr>
          <w:rFonts w:ascii="Arial" w:hAnsi="Arial" w:cs="Arial"/>
        </w:rPr>
        <w:t>4A</w:t>
      </w:r>
      <w:r w:rsidRPr="00A71430">
        <w:rPr>
          <w:rFonts w:ascii="Arial" w:hAnsi="Arial" w:cs="Arial"/>
        </w:rPr>
        <w:t xml:space="preserve"> </w:t>
      </w:r>
      <w:r w:rsidR="009042C7">
        <w:rPr>
          <w:rFonts w:ascii="Arial" w:hAnsi="Arial" w:cs="Arial"/>
        </w:rPr>
        <w:t>end treatment</w:t>
      </w:r>
      <w:r w:rsidR="000A1EB3">
        <w:rPr>
          <w:rFonts w:ascii="Arial" w:hAnsi="Arial" w:cs="Arial"/>
        </w:rPr>
        <w:t xml:space="preserve">. </w:t>
      </w:r>
      <w:r w:rsidR="000A1EB3" w:rsidRPr="000A1EB3">
        <w:rPr>
          <w:rFonts w:ascii="Arial" w:hAnsi="Arial" w:cs="Arial"/>
        </w:rPr>
        <w:t>Continue the selected curb and gutter type along the normal guardrail line, extending</w:t>
      </w:r>
      <w:r w:rsidR="008D7AD9">
        <w:rPr>
          <w:rFonts w:ascii="Arial" w:hAnsi="Arial" w:cs="Arial"/>
        </w:rPr>
        <w:t xml:space="preserve"> it</w:t>
      </w:r>
      <w:r w:rsidR="000A1EB3" w:rsidRPr="000A1EB3">
        <w:rPr>
          <w:rFonts w:ascii="Arial" w:hAnsi="Arial" w:cs="Arial"/>
        </w:rPr>
        <w:t xml:space="preserve"> </w:t>
      </w:r>
      <w:r w:rsidR="000A1EB3">
        <w:rPr>
          <w:rFonts w:ascii="Arial" w:hAnsi="Arial" w:cs="Arial"/>
        </w:rPr>
        <w:t>alongside</w:t>
      </w:r>
      <w:r w:rsidR="000A1EB3" w:rsidRPr="000A1EB3">
        <w:rPr>
          <w:rFonts w:ascii="Arial" w:hAnsi="Arial" w:cs="Arial"/>
        </w:rPr>
        <w:t xml:space="preserve"> the Type 4A end treatment and for 50 feet beyond </w:t>
      </w:r>
      <w:r w:rsidR="008D7AD9">
        <w:rPr>
          <w:rFonts w:ascii="Arial" w:hAnsi="Arial" w:cs="Arial"/>
        </w:rPr>
        <w:t>P</w:t>
      </w:r>
      <w:r w:rsidR="000A1EB3" w:rsidRPr="000A1EB3">
        <w:rPr>
          <w:rFonts w:ascii="Arial" w:hAnsi="Arial" w:cs="Arial"/>
        </w:rPr>
        <w:t>ost 1.</w:t>
      </w:r>
    </w:p>
    <w:p w14:paraId="36B4502E" w14:textId="7A5F4245" w:rsidR="00EC747C" w:rsidRDefault="00EC747C" w:rsidP="007B5207">
      <w:pPr>
        <w:spacing w:after="0" w:line="240" w:lineRule="auto"/>
        <w:rPr>
          <w:rFonts w:ascii="Arial" w:hAnsi="Arial" w:cs="Arial"/>
        </w:rPr>
      </w:pPr>
      <w:r>
        <w:rPr>
          <w:rFonts w:ascii="Arial" w:hAnsi="Arial" w:cs="Arial"/>
        </w:rPr>
        <w:br w:type="page"/>
      </w:r>
    </w:p>
    <w:p w14:paraId="337E5D42" w14:textId="77777777" w:rsidR="002158AD" w:rsidRDefault="002158AD" w:rsidP="007B5207">
      <w:pPr>
        <w:pStyle w:val="NoSpacing"/>
        <w:rPr>
          <w:rFonts w:ascii="Arial" w:hAnsi="Arial" w:cs="Arial"/>
        </w:rPr>
      </w:pPr>
    </w:p>
    <w:p w14:paraId="779C7858" w14:textId="1698912F" w:rsidR="00CC230D" w:rsidRPr="004651AA" w:rsidRDefault="00000000" w:rsidP="007B5207">
      <w:pPr>
        <w:pStyle w:val="NoSpacing"/>
        <w:rPr>
          <w:rFonts w:ascii="Arial" w:hAnsi="Arial" w:cs="Arial"/>
        </w:rPr>
      </w:pPr>
      <w:r w:rsidRPr="004651AA">
        <w:rPr>
          <w:rFonts w:ascii="Arial" w:hAnsi="Arial" w:cs="Arial"/>
          <w:color w:val="0066CC"/>
          <w:sz w:val="24"/>
        </w:rPr>
        <w:t>Referen</w:t>
      </w:r>
      <w:r w:rsidRPr="00CA4EA6">
        <w:rPr>
          <w:rFonts w:ascii="Arial" w:hAnsi="Arial" w:cs="Arial"/>
          <w:color w:val="0070C0"/>
          <w:sz w:val="24"/>
        </w:rPr>
        <w:t>ces</w:t>
      </w:r>
    </w:p>
    <w:p w14:paraId="59D23342" w14:textId="148CEA4F" w:rsidR="00483A6E" w:rsidRDefault="00483A6E" w:rsidP="007B5207">
      <w:pPr>
        <w:pStyle w:val="NoSpacing"/>
        <w:rPr>
          <w:rFonts w:ascii="Arial" w:hAnsi="Arial" w:cs="Arial"/>
        </w:rPr>
      </w:pPr>
      <w:r w:rsidRPr="004651AA">
        <w:rPr>
          <w:rFonts w:ascii="Arial" w:hAnsi="Arial" w:cs="Arial"/>
        </w:rPr>
        <w:t>KYTC Standard Specifications for Road and Bridge Construction</w:t>
      </w:r>
    </w:p>
    <w:p w14:paraId="41A4D0BA" w14:textId="6D2AF29D" w:rsidR="00483A6E" w:rsidRDefault="00483A6E" w:rsidP="007B5207">
      <w:pPr>
        <w:pStyle w:val="NoSpacing"/>
        <w:numPr>
          <w:ilvl w:val="0"/>
          <w:numId w:val="10"/>
        </w:numPr>
        <w:rPr>
          <w:rFonts w:ascii="Arial" w:hAnsi="Arial" w:cs="Arial"/>
        </w:rPr>
      </w:pPr>
      <w:r w:rsidRPr="00483A6E">
        <w:rPr>
          <w:rFonts w:ascii="Arial" w:hAnsi="Arial" w:cs="Arial"/>
        </w:rPr>
        <w:t>Section 719 – Guardrail</w:t>
      </w:r>
    </w:p>
    <w:p w14:paraId="77050EF6" w14:textId="229742FE" w:rsidR="00483A6E" w:rsidRPr="00483A6E" w:rsidRDefault="00483A6E" w:rsidP="007B5207">
      <w:pPr>
        <w:pStyle w:val="NoSpacing"/>
        <w:numPr>
          <w:ilvl w:val="0"/>
          <w:numId w:val="10"/>
        </w:numPr>
        <w:rPr>
          <w:rFonts w:ascii="Arial" w:hAnsi="Arial" w:cs="Arial"/>
        </w:rPr>
      </w:pPr>
      <w:r w:rsidRPr="00483A6E">
        <w:rPr>
          <w:rFonts w:ascii="Arial" w:hAnsi="Arial" w:cs="Arial"/>
        </w:rPr>
        <w:t>Section 814 – Guardrail Systems</w:t>
      </w:r>
    </w:p>
    <w:p w14:paraId="4FCFF0E6" w14:textId="2C6F2507" w:rsidR="00454B48" w:rsidRDefault="00454B48" w:rsidP="007B5207">
      <w:pPr>
        <w:pStyle w:val="NoSpacing"/>
        <w:rPr>
          <w:rFonts w:ascii="Arial" w:hAnsi="Arial" w:cs="Arial"/>
        </w:rPr>
      </w:pPr>
      <w:r w:rsidRPr="004651AA">
        <w:rPr>
          <w:rFonts w:ascii="Arial" w:hAnsi="Arial" w:cs="Arial"/>
        </w:rPr>
        <w:t xml:space="preserve">Highway Design </w:t>
      </w:r>
      <w:r w:rsidR="00483A6E">
        <w:rPr>
          <w:rFonts w:ascii="Arial" w:hAnsi="Arial" w:cs="Arial"/>
        </w:rPr>
        <w:t xml:space="preserve">Guidance </w:t>
      </w:r>
      <w:r w:rsidRPr="004651AA">
        <w:rPr>
          <w:rFonts w:ascii="Arial" w:hAnsi="Arial" w:cs="Arial"/>
        </w:rPr>
        <w:t>Manual</w:t>
      </w:r>
    </w:p>
    <w:p w14:paraId="278D69A1" w14:textId="207080AB" w:rsidR="00874113" w:rsidRDefault="00874113" w:rsidP="007B5207">
      <w:pPr>
        <w:pStyle w:val="NoSpacing"/>
        <w:numPr>
          <w:ilvl w:val="0"/>
          <w:numId w:val="13"/>
        </w:numPr>
        <w:rPr>
          <w:rFonts w:ascii="Arial" w:hAnsi="Arial" w:cs="Arial"/>
        </w:rPr>
      </w:pPr>
      <w:r>
        <w:rPr>
          <w:rFonts w:ascii="Arial" w:hAnsi="Arial" w:cs="Arial"/>
        </w:rPr>
        <w:t>HD-</w:t>
      </w:r>
      <w:r w:rsidRPr="00874113">
        <w:rPr>
          <w:rFonts w:ascii="Arial" w:hAnsi="Arial" w:cs="Arial"/>
        </w:rPr>
        <w:t>800 ROADSIDE DESIGN</w:t>
      </w:r>
    </w:p>
    <w:p w14:paraId="54CBF657" w14:textId="24DF5A06" w:rsidR="00874113" w:rsidRDefault="00874113" w:rsidP="007B5207">
      <w:pPr>
        <w:pStyle w:val="NoSpacing"/>
        <w:numPr>
          <w:ilvl w:val="0"/>
          <w:numId w:val="13"/>
        </w:numPr>
        <w:rPr>
          <w:rFonts w:ascii="Arial" w:hAnsi="Arial" w:cs="Arial"/>
        </w:rPr>
      </w:pPr>
      <w:r w:rsidRPr="00874113">
        <w:rPr>
          <w:rFonts w:ascii="Arial" w:hAnsi="Arial" w:cs="Arial"/>
        </w:rPr>
        <w:t>HD-801.6</w:t>
      </w:r>
      <w:r>
        <w:rPr>
          <w:rFonts w:ascii="Arial" w:hAnsi="Arial" w:cs="Arial"/>
        </w:rPr>
        <w:t xml:space="preserve"> </w:t>
      </w:r>
      <w:r w:rsidRPr="00874113">
        <w:rPr>
          <w:rFonts w:ascii="Arial" w:hAnsi="Arial" w:cs="Arial"/>
        </w:rPr>
        <w:t>END TREATMENTS &amp; CRASH CUSHIONS</w:t>
      </w:r>
    </w:p>
    <w:p w14:paraId="614D411A" w14:textId="77777777" w:rsidR="00CA4EA6" w:rsidRDefault="00CA4EA6" w:rsidP="007B5207">
      <w:pPr>
        <w:pStyle w:val="NoSpacing"/>
        <w:rPr>
          <w:rFonts w:ascii="Arial" w:hAnsi="Arial" w:cs="Arial"/>
          <w:color w:val="0066CC"/>
          <w:sz w:val="24"/>
        </w:rPr>
      </w:pPr>
    </w:p>
    <w:p w14:paraId="16BCCB22" w14:textId="6E6C4EB4" w:rsidR="00454B48" w:rsidRPr="004651AA" w:rsidRDefault="00454B48" w:rsidP="007B5207">
      <w:pPr>
        <w:pStyle w:val="NoSpacing"/>
        <w:rPr>
          <w:rFonts w:ascii="Arial" w:hAnsi="Arial" w:cs="Arial"/>
        </w:rPr>
      </w:pPr>
      <w:r w:rsidRPr="004651AA">
        <w:rPr>
          <w:rFonts w:ascii="Arial" w:hAnsi="Arial" w:cs="Arial"/>
          <w:color w:val="0066CC"/>
          <w:sz w:val="24"/>
        </w:rPr>
        <w:t>Related Standard Drawings</w:t>
      </w:r>
    </w:p>
    <w:p w14:paraId="5B0254A4" w14:textId="77777777" w:rsidR="00F93B26" w:rsidRDefault="00F93B26" w:rsidP="007B5207">
      <w:pPr>
        <w:pStyle w:val="NoSpacing"/>
        <w:ind w:left="2880" w:hanging="2880"/>
        <w:rPr>
          <w:rFonts w:ascii="Arial" w:hAnsi="Arial" w:cs="Arial"/>
        </w:rPr>
      </w:pPr>
      <w:r w:rsidRPr="00F93B26">
        <w:rPr>
          <w:rFonts w:ascii="Arial" w:hAnsi="Arial" w:cs="Arial"/>
        </w:rPr>
        <w:t>RBB-002</w:t>
      </w:r>
      <w:r w:rsidRPr="00F93B26">
        <w:rPr>
          <w:rFonts w:ascii="Arial" w:hAnsi="Arial" w:cs="Arial"/>
        </w:rPr>
        <w:tab/>
        <w:t xml:space="preserve">GUARDRAIL AND BRIDGE END DRAINAGE FOR </w:t>
      </w:r>
    </w:p>
    <w:p w14:paraId="32220EE2" w14:textId="5465A89C" w:rsidR="00F93B26" w:rsidRPr="00F93B26" w:rsidRDefault="00F93B26" w:rsidP="007B5207">
      <w:pPr>
        <w:pStyle w:val="NoSpacing"/>
        <w:ind w:left="2880"/>
        <w:rPr>
          <w:rFonts w:ascii="Arial" w:hAnsi="Arial" w:cs="Arial"/>
        </w:rPr>
      </w:pPr>
      <w:r w:rsidRPr="00F93B26">
        <w:rPr>
          <w:rFonts w:ascii="Arial" w:hAnsi="Arial" w:cs="Arial"/>
        </w:rPr>
        <w:t>TWIN STRUCTURE</w:t>
      </w:r>
    </w:p>
    <w:p w14:paraId="7726B795" w14:textId="0283F00E" w:rsidR="00751F0C" w:rsidRDefault="00B55034" w:rsidP="007B5207">
      <w:pPr>
        <w:pStyle w:val="NoSpacing"/>
        <w:rPr>
          <w:rFonts w:ascii="Arial" w:hAnsi="Arial" w:cs="Arial"/>
        </w:rPr>
      </w:pPr>
      <w:r w:rsidRPr="00B55034">
        <w:rPr>
          <w:rFonts w:ascii="Arial" w:hAnsi="Arial" w:cs="Arial"/>
        </w:rPr>
        <w:t>RBI-001</w:t>
      </w:r>
      <w:r w:rsidR="00751F0C">
        <w:rPr>
          <w:rFonts w:ascii="Arial" w:hAnsi="Arial" w:cs="Arial"/>
        </w:rPr>
        <w:tab/>
      </w:r>
      <w:r w:rsidR="00751F0C">
        <w:rPr>
          <w:rFonts w:ascii="Arial" w:hAnsi="Arial" w:cs="Arial"/>
        </w:rPr>
        <w:tab/>
      </w:r>
      <w:r w:rsidR="00751F0C" w:rsidRPr="00751F0C">
        <w:rPr>
          <w:rFonts w:ascii="Arial" w:hAnsi="Arial" w:cs="Arial"/>
        </w:rPr>
        <w:tab/>
        <w:t>TYPICAL GUARDRAIL INSTALLATIONS</w:t>
      </w:r>
      <w:r w:rsidR="00751F0C" w:rsidRPr="00B55034">
        <w:rPr>
          <w:rFonts w:ascii="Arial" w:hAnsi="Arial" w:cs="Arial"/>
        </w:rPr>
        <w:t xml:space="preserve"> </w:t>
      </w:r>
    </w:p>
    <w:p w14:paraId="7B1553F6" w14:textId="77777777" w:rsidR="00751F0C" w:rsidRDefault="00B55034" w:rsidP="007B5207">
      <w:pPr>
        <w:pStyle w:val="NoSpacing"/>
        <w:rPr>
          <w:rFonts w:ascii="Arial" w:hAnsi="Arial" w:cs="Arial"/>
        </w:rPr>
      </w:pPr>
      <w:r w:rsidRPr="00B55034">
        <w:rPr>
          <w:rFonts w:ascii="Arial" w:hAnsi="Arial" w:cs="Arial"/>
        </w:rPr>
        <w:t>RBI-002</w:t>
      </w:r>
      <w:r w:rsidR="00751F0C">
        <w:rPr>
          <w:rFonts w:ascii="Arial" w:hAnsi="Arial" w:cs="Arial"/>
        </w:rPr>
        <w:tab/>
      </w:r>
      <w:r w:rsidR="00751F0C">
        <w:rPr>
          <w:rFonts w:ascii="Arial" w:hAnsi="Arial" w:cs="Arial"/>
        </w:rPr>
        <w:tab/>
      </w:r>
      <w:r w:rsidR="00751F0C">
        <w:rPr>
          <w:rFonts w:ascii="Arial" w:hAnsi="Arial" w:cs="Arial"/>
        </w:rPr>
        <w:tab/>
      </w:r>
      <w:r w:rsidR="00751F0C" w:rsidRPr="00751F0C">
        <w:rPr>
          <w:rFonts w:ascii="Arial" w:hAnsi="Arial" w:cs="Arial"/>
        </w:rPr>
        <w:t>TYPICAL GUARDRAIL INSTALLATIONS</w:t>
      </w:r>
      <w:r w:rsidR="00751F0C" w:rsidRPr="00B55034">
        <w:rPr>
          <w:rFonts w:ascii="Arial" w:hAnsi="Arial" w:cs="Arial"/>
        </w:rPr>
        <w:t xml:space="preserve"> </w:t>
      </w:r>
    </w:p>
    <w:p w14:paraId="2218B81C" w14:textId="42D67D4B" w:rsidR="004A0C25" w:rsidRDefault="004A0C25" w:rsidP="007B5207">
      <w:pPr>
        <w:pStyle w:val="NoSpacing"/>
        <w:rPr>
          <w:rFonts w:ascii="Arial" w:hAnsi="Arial" w:cs="Arial"/>
        </w:rPr>
      </w:pPr>
      <w:r>
        <w:rPr>
          <w:rFonts w:ascii="Arial" w:hAnsi="Arial" w:cs="Arial"/>
        </w:rPr>
        <w:t>RBI-005</w:t>
      </w:r>
      <w:r>
        <w:rPr>
          <w:rFonts w:ascii="Arial" w:hAnsi="Arial" w:cs="Arial"/>
        </w:rPr>
        <w:tab/>
      </w:r>
      <w:r>
        <w:rPr>
          <w:rFonts w:ascii="Arial" w:hAnsi="Arial" w:cs="Arial"/>
        </w:rPr>
        <w:tab/>
      </w:r>
      <w:r>
        <w:rPr>
          <w:rFonts w:ascii="Arial" w:hAnsi="Arial" w:cs="Arial"/>
        </w:rPr>
        <w:tab/>
        <w:t>GUARDRAIL INSTALLATIONS AT BRIDGE COLUMNS</w:t>
      </w:r>
    </w:p>
    <w:p w14:paraId="46C9B7F0" w14:textId="79EF9824" w:rsidR="004A0C25" w:rsidRDefault="004A0C25" w:rsidP="007B5207">
      <w:pPr>
        <w:pStyle w:val="NoSpacing"/>
        <w:rPr>
          <w:rFonts w:ascii="Arial" w:hAnsi="Arial" w:cs="Arial"/>
        </w:rPr>
      </w:pPr>
      <w:r>
        <w:rPr>
          <w:rFonts w:ascii="Arial" w:hAnsi="Arial" w:cs="Arial"/>
        </w:rPr>
        <w:t>RBI-006</w:t>
      </w:r>
      <w:r>
        <w:rPr>
          <w:rFonts w:ascii="Arial" w:hAnsi="Arial" w:cs="Arial"/>
        </w:rPr>
        <w:tab/>
      </w:r>
      <w:r>
        <w:rPr>
          <w:rFonts w:ascii="Arial" w:hAnsi="Arial" w:cs="Arial"/>
        </w:rPr>
        <w:tab/>
      </w:r>
      <w:r>
        <w:rPr>
          <w:rFonts w:ascii="Arial" w:hAnsi="Arial" w:cs="Arial"/>
        </w:rPr>
        <w:tab/>
        <w:t>GUARDRAIL INSTALLATIONS AT SIGN SUPPORTS</w:t>
      </w:r>
    </w:p>
    <w:p w14:paraId="67A303C3" w14:textId="6DCEF28A" w:rsidR="004A0C25" w:rsidRDefault="004A0C25" w:rsidP="007B5207">
      <w:pPr>
        <w:pStyle w:val="NoSpacing"/>
        <w:rPr>
          <w:rFonts w:ascii="Arial" w:hAnsi="Arial" w:cs="Arial"/>
        </w:rPr>
      </w:pPr>
      <w:r w:rsidRPr="00B55034">
        <w:rPr>
          <w:rFonts w:ascii="Arial" w:hAnsi="Arial" w:cs="Arial"/>
        </w:rPr>
        <w:t>RB</w:t>
      </w:r>
      <w:r>
        <w:rPr>
          <w:rFonts w:ascii="Arial" w:hAnsi="Arial" w:cs="Arial"/>
        </w:rPr>
        <w:t>R</w:t>
      </w:r>
      <w:r w:rsidRPr="00B55034">
        <w:rPr>
          <w:rFonts w:ascii="Arial" w:hAnsi="Arial" w:cs="Arial"/>
        </w:rPr>
        <w:t>-001</w:t>
      </w:r>
      <w:r>
        <w:rPr>
          <w:rFonts w:ascii="Arial" w:hAnsi="Arial" w:cs="Arial"/>
        </w:rPr>
        <w:tab/>
      </w:r>
      <w:r>
        <w:rPr>
          <w:rFonts w:ascii="Arial" w:hAnsi="Arial" w:cs="Arial"/>
        </w:rPr>
        <w:tab/>
      </w:r>
      <w:r w:rsidRPr="00751F0C">
        <w:rPr>
          <w:rFonts w:ascii="Arial" w:hAnsi="Arial" w:cs="Arial"/>
        </w:rPr>
        <w:tab/>
      </w:r>
      <w:r w:rsidR="00E10AC3">
        <w:rPr>
          <w:rFonts w:ascii="Arial" w:hAnsi="Arial" w:cs="Arial"/>
        </w:rPr>
        <w:t>STEEL BEAM</w:t>
      </w:r>
      <w:r w:rsidRPr="00751F0C">
        <w:rPr>
          <w:rFonts w:ascii="Arial" w:hAnsi="Arial" w:cs="Arial"/>
        </w:rPr>
        <w:t xml:space="preserve"> GUARDRAIL</w:t>
      </w:r>
      <w:r w:rsidR="00E10AC3">
        <w:rPr>
          <w:rFonts w:ascii="Arial" w:hAnsi="Arial" w:cs="Arial"/>
        </w:rPr>
        <w:t xml:space="preserve"> (“W” BEAM)</w:t>
      </w:r>
    </w:p>
    <w:p w14:paraId="3E5DDC18" w14:textId="77777777" w:rsidR="00F93B26" w:rsidRPr="00F93B26" w:rsidRDefault="00F93B26" w:rsidP="007B5207">
      <w:pPr>
        <w:pStyle w:val="NoSpacing"/>
        <w:rPr>
          <w:rFonts w:ascii="Arial" w:hAnsi="Arial" w:cs="Arial"/>
        </w:rPr>
      </w:pPr>
      <w:r w:rsidRPr="00F93B26">
        <w:rPr>
          <w:rFonts w:ascii="Arial" w:hAnsi="Arial" w:cs="Arial"/>
        </w:rPr>
        <w:t>RBR-018</w:t>
      </w:r>
      <w:r w:rsidRPr="00F93B26">
        <w:rPr>
          <w:rFonts w:ascii="Arial" w:hAnsi="Arial" w:cs="Arial"/>
        </w:rPr>
        <w:tab/>
      </w:r>
      <w:r w:rsidRPr="00F93B26">
        <w:rPr>
          <w:rFonts w:ascii="Arial" w:hAnsi="Arial" w:cs="Arial"/>
        </w:rPr>
        <w:tab/>
      </w:r>
      <w:r w:rsidRPr="00F93B26">
        <w:rPr>
          <w:rFonts w:ascii="Arial" w:hAnsi="Arial" w:cs="Arial"/>
        </w:rPr>
        <w:tab/>
        <w:t>GUARDRAIL SYSTEM TRANSITION</w:t>
      </w:r>
    </w:p>
    <w:p w14:paraId="7812E5E1" w14:textId="77777777" w:rsidR="00F93B26" w:rsidRDefault="00F93B26" w:rsidP="007B5207">
      <w:pPr>
        <w:pStyle w:val="NoSpacing"/>
        <w:rPr>
          <w:rFonts w:ascii="Arial" w:hAnsi="Arial" w:cs="Arial"/>
        </w:rPr>
      </w:pPr>
    </w:p>
    <w:p w14:paraId="30FF8A90" w14:textId="77777777" w:rsidR="006142EB" w:rsidRDefault="006142EB" w:rsidP="007B5207">
      <w:pPr>
        <w:pStyle w:val="NoSpacing"/>
        <w:rPr>
          <w:rFonts w:ascii="Arial" w:hAnsi="Arial" w:cs="Arial"/>
          <w:color w:val="0066CC"/>
          <w:sz w:val="24"/>
        </w:rPr>
      </w:pPr>
    </w:p>
    <w:p w14:paraId="06B393BF" w14:textId="67D6A833" w:rsidR="00CC230D" w:rsidRPr="004651AA" w:rsidRDefault="00000000" w:rsidP="007B5207">
      <w:pPr>
        <w:pStyle w:val="NoSpacing"/>
        <w:rPr>
          <w:rFonts w:ascii="Arial" w:hAnsi="Arial" w:cs="Arial"/>
        </w:rPr>
      </w:pPr>
      <w:r w:rsidRPr="004651AA">
        <w:rPr>
          <w:rFonts w:ascii="Arial" w:hAnsi="Arial" w:cs="Arial"/>
          <w:color w:val="0066CC"/>
          <w:sz w:val="24"/>
        </w:rPr>
        <w:t>Revision History</w:t>
      </w:r>
    </w:p>
    <w:tbl>
      <w:tblPr>
        <w:tblStyle w:val="LightGrid-Accent1"/>
        <w:tblW w:w="0" w:type="auto"/>
        <w:tblLook w:val="04A0" w:firstRow="1" w:lastRow="0" w:firstColumn="1" w:lastColumn="0" w:noHBand="0" w:noVBand="1"/>
      </w:tblPr>
      <w:tblGrid>
        <w:gridCol w:w="2874"/>
        <w:gridCol w:w="5746"/>
      </w:tblGrid>
      <w:tr w:rsidR="0066145C" w:rsidRPr="004651AA" w14:paraId="77353CA1" w14:textId="77777777" w:rsidTr="00420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14:paraId="0227963B" w14:textId="77777777" w:rsidR="0066145C" w:rsidRPr="004651AA" w:rsidRDefault="0066145C" w:rsidP="007B5207">
            <w:pPr>
              <w:pStyle w:val="NoSpacing"/>
              <w:rPr>
                <w:rFonts w:ascii="Arial" w:hAnsi="Arial" w:cs="Arial"/>
              </w:rPr>
            </w:pPr>
            <w:r w:rsidRPr="004651AA">
              <w:rPr>
                <w:rFonts w:ascii="Arial" w:hAnsi="Arial" w:cs="Arial"/>
              </w:rPr>
              <w:t>Revision Date</w:t>
            </w:r>
          </w:p>
        </w:tc>
        <w:tc>
          <w:tcPr>
            <w:tcW w:w="5746" w:type="dxa"/>
          </w:tcPr>
          <w:p w14:paraId="43BAFAD3" w14:textId="77777777" w:rsidR="0066145C" w:rsidRPr="004651AA" w:rsidRDefault="0066145C" w:rsidP="007B520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4651AA">
              <w:rPr>
                <w:rFonts w:ascii="Arial" w:hAnsi="Arial" w:cs="Arial"/>
              </w:rPr>
              <w:t>Description of Changes</w:t>
            </w:r>
          </w:p>
        </w:tc>
      </w:tr>
      <w:tr w:rsidR="0066145C" w:rsidRPr="004651AA" w14:paraId="6CD75C8C" w14:textId="77777777" w:rsidTr="00420F1A">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74" w:type="dxa"/>
          </w:tcPr>
          <w:p w14:paraId="5063E45F" w14:textId="3FC38416" w:rsidR="0066145C" w:rsidRPr="004651AA" w:rsidRDefault="00C07292" w:rsidP="007B5207">
            <w:pPr>
              <w:pStyle w:val="NoSpacing"/>
              <w:rPr>
                <w:rFonts w:ascii="Arial" w:hAnsi="Arial" w:cs="Arial"/>
              </w:rPr>
            </w:pPr>
            <w:bookmarkStart w:id="1" w:name="_Hlk197330350"/>
            <w:r w:rsidRPr="00C07292">
              <w:rPr>
                <w:rFonts w:ascii="Arial" w:hAnsi="Arial" w:cs="Arial"/>
              </w:rPr>
              <w:t>202</w:t>
            </w:r>
            <w:r>
              <w:rPr>
                <w:rFonts w:ascii="Arial" w:hAnsi="Arial" w:cs="Arial"/>
              </w:rPr>
              <w:t>5-2-2</w:t>
            </w:r>
            <w:r w:rsidRPr="00C07292">
              <w:rPr>
                <w:rFonts w:ascii="Arial" w:hAnsi="Arial" w:cs="Arial"/>
              </w:rPr>
              <w:t>8</w:t>
            </w:r>
          </w:p>
        </w:tc>
        <w:tc>
          <w:tcPr>
            <w:tcW w:w="5746" w:type="dxa"/>
            <w:vMerge w:val="restart"/>
          </w:tcPr>
          <w:p w14:paraId="016A9BF1" w14:textId="508AD5C2" w:rsidR="00C07292" w:rsidRPr="00C07292" w:rsidRDefault="00C07292" w:rsidP="007B5207">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7292">
              <w:rPr>
                <w:rFonts w:ascii="Arial" w:hAnsi="Arial" w:cs="Arial"/>
              </w:rPr>
              <w:t>Updated guidance for Guardrail End Treatment Type 4A on the Standard Drawing</w:t>
            </w:r>
          </w:p>
          <w:p w14:paraId="768F26FB" w14:textId="71ED141C" w:rsidR="0066145C" w:rsidRPr="002941F5" w:rsidRDefault="00C07292" w:rsidP="007B5207">
            <w:pPr>
              <w:pStyle w:val="NoSpacing"/>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7292">
              <w:rPr>
                <w:rFonts w:ascii="Arial" w:hAnsi="Arial" w:cs="Arial"/>
              </w:rPr>
              <w:t>Added a QR code linking to the MFLEAT assembly instructions</w:t>
            </w:r>
          </w:p>
        </w:tc>
      </w:tr>
      <w:tr w:rsidR="0066145C" w:rsidRPr="004651AA" w14:paraId="5F73F68D" w14:textId="77777777" w:rsidTr="00420F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Pr>
          <w:p w14:paraId="1D066052" w14:textId="77777777" w:rsidR="0066145C" w:rsidRDefault="0066145C" w:rsidP="007B5207">
            <w:pPr>
              <w:pStyle w:val="NoSpacing"/>
              <w:rPr>
                <w:rFonts w:ascii="Arial" w:hAnsi="Arial" w:cs="Arial"/>
                <w:b w:val="0"/>
                <w:bCs w:val="0"/>
              </w:rPr>
            </w:pPr>
          </w:p>
          <w:p w14:paraId="18A9EE34" w14:textId="6D39DEB2" w:rsidR="0066145C" w:rsidRPr="004651AA" w:rsidRDefault="0066145C" w:rsidP="007B5207">
            <w:pPr>
              <w:pStyle w:val="NoSpacing"/>
              <w:rPr>
                <w:rFonts w:ascii="Arial" w:hAnsi="Arial" w:cs="Arial"/>
              </w:rPr>
            </w:pPr>
            <w:r w:rsidRPr="004651AA">
              <w:rPr>
                <w:rFonts w:ascii="Arial" w:hAnsi="Arial" w:cs="Arial"/>
              </w:rPr>
              <w:t>Revision Number</w:t>
            </w:r>
            <w:r>
              <w:rPr>
                <w:rFonts w:ascii="Arial" w:hAnsi="Arial" w:cs="Arial"/>
              </w:rPr>
              <w:t xml:space="preserve"> 01</w:t>
            </w:r>
            <w:r w:rsidR="00E469D7">
              <w:rPr>
                <w:rFonts w:ascii="Arial" w:hAnsi="Arial" w:cs="Arial"/>
              </w:rPr>
              <w:t>2</w:t>
            </w:r>
          </w:p>
        </w:tc>
        <w:tc>
          <w:tcPr>
            <w:tcW w:w="5746" w:type="dxa"/>
            <w:vMerge/>
          </w:tcPr>
          <w:p w14:paraId="4A23EE26" w14:textId="77777777" w:rsidR="0066145C" w:rsidRPr="002941F5" w:rsidRDefault="0066145C" w:rsidP="007B5207">
            <w:pPr>
              <w:pStyle w:val="NoSpacing"/>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bookmarkEnd w:id="1"/>
    <w:p w14:paraId="7EC67BC0" w14:textId="77777777" w:rsidR="0066145C" w:rsidRPr="004651AA" w:rsidRDefault="0066145C" w:rsidP="007B5207">
      <w:pPr>
        <w:pStyle w:val="NoSpacing"/>
        <w:rPr>
          <w:rFonts w:ascii="Arial" w:hAnsi="Arial" w:cs="Arial"/>
        </w:rPr>
      </w:pPr>
      <w:r w:rsidRPr="004651AA">
        <w:rPr>
          <w:rFonts w:ascii="Arial" w:hAnsi="Arial" w:cs="Arial"/>
          <w:i/>
          <w:color w:val="646464"/>
        </w:rPr>
        <w:br/>
      </w:r>
    </w:p>
    <w:p w14:paraId="7D48F0CE" w14:textId="698EF13D" w:rsidR="00CC230D" w:rsidRPr="004651AA" w:rsidRDefault="00CC230D" w:rsidP="007B5207">
      <w:pPr>
        <w:pStyle w:val="NoSpacing"/>
        <w:rPr>
          <w:rFonts w:ascii="Arial" w:hAnsi="Arial" w:cs="Arial"/>
        </w:rPr>
      </w:pPr>
    </w:p>
    <w:sectPr w:rsidR="00CC230D" w:rsidRPr="004651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BC4ED6"/>
    <w:multiLevelType w:val="hybridMultilevel"/>
    <w:tmpl w:val="3B24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74022"/>
    <w:multiLevelType w:val="hybridMultilevel"/>
    <w:tmpl w:val="2EAC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54604"/>
    <w:multiLevelType w:val="hybridMultilevel"/>
    <w:tmpl w:val="9D3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6581E"/>
    <w:multiLevelType w:val="hybridMultilevel"/>
    <w:tmpl w:val="71C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C75E7"/>
    <w:multiLevelType w:val="hybridMultilevel"/>
    <w:tmpl w:val="3494967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28437A"/>
    <w:multiLevelType w:val="hybridMultilevel"/>
    <w:tmpl w:val="E16C7CC4"/>
    <w:lvl w:ilvl="0" w:tplc="4B1CD544">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62487"/>
    <w:multiLevelType w:val="hybridMultilevel"/>
    <w:tmpl w:val="0EB8F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B5474"/>
    <w:multiLevelType w:val="multilevel"/>
    <w:tmpl w:val="53B4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8868E8"/>
    <w:multiLevelType w:val="hybridMultilevel"/>
    <w:tmpl w:val="B324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D7D40"/>
    <w:multiLevelType w:val="hybridMultilevel"/>
    <w:tmpl w:val="4D064992"/>
    <w:lvl w:ilvl="0" w:tplc="4B1CD544">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31A79"/>
    <w:multiLevelType w:val="hybridMultilevel"/>
    <w:tmpl w:val="702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148D2"/>
    <w:multiLevelType w:val="hybridMultilevel"/>
    <w:tmpl w:val="E54C2354"/>
    <w:lvl w:ilvl="0" w:tplc="4B1CD544">
      <w:start w:val="5"/>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343A88"/>
    <w:multiLevelType w:val="hybridMultilevel"/>
    <w:tmpl w:val="5674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505366">
    <w:abstractNumId w:val="8"/>
  </w:num>
  <w:num w:numId="2" w16cid:durableId="1647856083">
    <w:abstractNumId w:val="6"/>
  </w:num>
  <w:num w:numId="3" w16cid:durableId="444884125">
    <w:abstractNumId w:val="5"/>
  </w:num>
  <w:num w:numId="4" w16cid:durableId="1755474367">
    <w:abstractNumId w:val="4"/>
  </w:num>
  <w:num w:numId="5" w16cid:durableId="1518419900">
    <w:abstractNumId w:val="7"/>
  </w:num>
  <w:num w:numId="6" w16cid:durableId="1005862570">
    <w:abstractNumId w:val="3"/>
  </w:num>
  <w:num w:numId="7" w16cid:durableId="1671172715">
    <w:abstractNumId w:val="2"/>
  </w:num>
  <w:num w:numId="8" w16cid:durableId="1445926582">
    <w:abstractNumId w:val="1"/>
  </w:num>
  <w:num w:numId="9" w16cid:durableId="1460537439">
    <w:abstractNumId w:val="0"/>
  </w:num>
  <w:num w:numId="10" w16cid:durableId="1911697259">
    <w:abstractNumId w:val="17"/>
  </w:num>
  <w:num w:numId="11" w16cid:durableId="144399242">
    <w:abstractNumId w:val="11"/>
  </w:num>
  <w:num w:numId="12" w16cid:durableId="1635713609">
    <w:abstractNumId w:val="19"/>
  </w:num>
  <w:num w:numId="13" w16cid:durableId="1452868240">
    <w:abstractNumId w:val="9"/>
  </w:num>
  <w:num w:numId="14" w16cid:durableId="1316032749">
    <w:abstractNumId w:val="21"/>
  </w:num>
  <w:num w:numId="15" w16cid:durableId="2006086319">
    <w:abstractNumId w:val="16"/>
  </w:num>
  <w:num w:numId="16" w16cid:durableId="1106316769">
    <w:abstractNumId w:val="12"/>
  </w:num>
  <w:num w:numId="17" w16cid:durableId="617758967">
    <w:abstractNumId w:val="10"/>
  </w:num>
  <w:num w:numId="18" w16cid:durableId="1088384044">
    <w:abstractNumId w:val="18"/>
  </w:num>
  <w:num w:numId="19" w16cid:durableId="1128470391">
    <w:abstractNumId w:val="20"/>
  </w:num>
  <w:num w:numId="20" w16cid:durableId="770904585">
    <w:abstractNumId w:val="14"/>
  </w:num>
  <w:num w:numId="21" w16cid:durableId="1897281416">
    <w:abstractNumId w:val="13"/>
  </w:num>
  <w:num w:numId="22" w16cid:durableId="1217159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CC1"/>
    <w:rsid w:val="000728FA"/>
    <w:rsid w:val="000A1EB3"/>
    <w:rsid w:val="000A2A1E"/>
    <w:rsid w:val="000B33C7"/>
    <w:rsid w:val="0015074B"/>
    <w:rsid w:val="00174FA8"/>
    <w:rsid w:val="00191BD2"/>
    <w:rsid w:val="001C5B44"/>
    <w:rsid w:val="00214D8E"/>
    <w:rsid w:val="002158AD"/>
    <w:rsid w:val="00233857"/>
    <w:rsid w:val="00240410"/>
    <w:rsid w:val="00276106"/>
    <w:rsid w:val="002941F5"/>
    <w:rsid w:val="00294822"/>
    <w:rsid w:val="0029639D"/>
    <w:rsid w:val="002E588F"/>
    <w:rsid w:val="002F492C"/>
    <w:rsid w:val="00320622"/>
    <w:rsid w:val="003262CA"/>
    <w:rsid w:val="00326F90"/>
    <w:rsid w:val="00385108"/>
    <w:rsid w:val="004240DD"/>
    <w:rsid w:val="00427DFF"/>
    <w:rsid w:val="00454B48"/>
    <w:rsid w:val="004629DF"/>
    <w:rsid w:val="004651AA"/>
    <w:rsid w:val="00483A6E"/>
    <w:rsid w:val="004A0C25"/>
    <w:rsid w:val="004B0169"/>
    <w:rsid w:val="004C3B01"/>
    <w:rsid w:val="004E6B85"/>
    <w:rsid w:val="00541038"/>
    <w:rsid w:val="005906AB"/>
    <w:rsid w:val="005E0C13"/>
    <w:rsid w:val="005E599B"/>
    <w:rsid w:val="006142EB"/>
    <w:rsid w:val="0066145C"/>
    <w:rsid w:val="006B5E24"/>
    <w:rsid w:val="006F5ABC"/>
    <w:rsid w:val="00751282"/>
    <w:rsid w:val="00751F0C"/>
    <w:rsid w:val="007615CD"/>
    <w:rsid w:val="0077109F"/>
    <w:rsid w:val="007B5207"/>
    <w:rsid w:val="007F7788"/>
    <w:rsid w:val="00827635"/>
    <w:rsid w:val="0083326B"/>
    <w:rsid w:val="00860A79"/>
    <w:rsid w:val="00874113"/>
    <w:rsid w:val="008812E8"/>
    <w:rsid w:val="00887E56"/>
    <w:rsid w:val="008D550A"/>
    <w:rsid w:val="008D7AD9"/>
    <w:rsid w:val="008F7CF8"/>
    <w:rsid w:val="00900358"/>
    <w:rsid w:val="009042C7"/>
    <w:rsid w:val="00912928"/>
    <w:rsid w:val="00931E54"/>
    <w:rsid w:val="00942570"/>
    <w:rsid w:val="009F70F4"/>
    <w:rsid w:val="00A00807"/>
    <w:rsid w:val="00A02F2A"/>
    <w:rsid w:val="00A71430"/>
    <w:rsid w:val="00AA1D8D"/>
    <w:rsid w:val="00AE3E48"/>
    <w:rsid w:val="00B47730"/>
    <w:rsid w:val="00B55034"/>
    <w:rsid w:val="00B921EC"/>
    <w:rsid w:val="00BD2010"/>
    <w:rsid w:val="00C06C40"/>
    <w:rsid w:val="00C07292"/>
    <w:rsid w:val="00C22BD8"/>
    <w:rsid w:val="00C3275E"/>
    <w:rsid w:val="00CA4EA6"/>
    <w:rsid w:val="00CB0664"/>
    <w:rsid w:val="00CC0448"/>
    <w:rsid w:val="00CC230D"/>
    <w:rsid w:val="00CC280D"/>
    <w:rsid w:val="00D04AF7"/>
    <w:rsid w:val="00D25578"/>
    <w:rsid w:val="00E10AC3"/>
    <w:rsid w:val="00E37B51"/>
    <w:rsid w:val="00E469D7"/>
    <w:rsid w:val="00E91120"/>
    <w:rsid w:val="00EA4EBA"/>
    <w:rsid w:val="00EC747C"/>
    <w:rsid w:val="00F17D95"/>
    <w:rsid w:val="00F235AD"/>
    <w:rsid w:val="00F36231"/>
    <w:rsid w:val="00F43692"/>
    <w:rsid w:val="00F6794D"/>
    <w:rsid w:val="00F705F5"/>
    <w:rsid w:val="00F93B26"/>
    <w:rsid w:val="00FB0178"/>
    <w:rsid w:val="00FC2735"/>
    <w:rsid w:val="00FC693F"/>
    <w:rsid w:val="00FD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AEBCD"/>
  <w14:defaultImageDpi w14:val="300"/>
  <w15:docId w15:val="{9A2E7CDC-933C-460F-8059-0ADC7A53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B55034"/>
    <w:rPr>
      <w:sz w:val="16"/>
      <w:szCs w:val="16"/>
    </w:rPr>
  </w:style>
  <w:style w:type="paragraph" w:styleId="CommentText">
    <w:name w:val="annotation text"/>
    <w:basedOn w:val="Normal"/>
    <w:link w:val="CommentTextChar"/>
    <w:uiPriority w:val="99"/>
    <w:unhideWhenUsed/>
    <w:rsid w:val="00B55034"/>
    <w:pPr>
      <w:spacing w:line="240" w:lineRule="auto"/>
    </w:pPr>
    <w:rPr>
      <w:sz w:val="20"/>
      <w:szCs w:val="20"/>
    </w:rPr>
  </w:style>
  <w:style w:type="character" w:customStyle="1" w:styleId="CommentTextChar">
    <w:name w:val="Comment Text Char"/>
    <w:basedOn w:val="DefaultParagraphFont"/>
    <w:link w:val="CommentText"/>
    <w:uiPriority w:val="99"/>
    <w:rsid w:val="00B55034"/>
    <w:rPr>
      <w:sz w:val="20"/>
      <w:szCs w:val="20"/>
    </w:rPr>
  </w:style>
  <w:style w:type="paragraph" w:styleId="CommentSubject">
    <w:name w:val="annotation subject"/>
    <w:basedOn w:val="CommentText"/>
    <w:next w:val="CommentText"/>
    <w:link w:val="CommentSubjectChar"/>
    <w:uiPriority w:val="99"/>
    <w:semiHidden/>
    <w:unhideWhenUsed/>
    <w:rsid w:val="00B55034"/>
    <w:rPr>
      <w:b/>
      <w:bCs/>
    </w:rPr>
  </w:style>
  <w:style w:type="character" w:customStyle="1" w:styleId="CommentSubjectChar">
    <w:name w:val="Comment Subject Char"/>
    <w:basedOn w:val="CommentTextChar"/>
    <w:link w:val="CommentSubject"/>
    <w:uiPriority w:val="99"/>
    <w:semiHidden/>
    <w:rsid w:val="00B55034"/>
    <w:rPr>
      <w:b/>
      <w:bCs/>
      <w:sz w:val="20"/>
      <w:szCs w:val="20"/>
    </w:rPr>
  </w:style>
  <w:style w:type="paragraph" w:customStyle="1" w:styleId="breadcrumb-item">
    <w:name w:val="breadcrumb-item"/>
    <w:basedOn w:val="Normal"/>
    <w:rsid w:val="008741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113"/>
    <w:rPr>
      <w:color w:val="0000FF"/>
      <w:u w:val="single"/>
    </w:rPr>
  </w:style>
  <w:style w:type="paragraph" w:styleId="Revision">
    <w:name w:val="Revision"/>
    <w:hidden/>
    <w:uiPriority w:val="99"/>
    <w:semiHidden/>
    <w:rsid w:val="007B5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6451">
      <w:bodyDiv w:val="1"/>
      <w:marLeft w:val="0"/>
      <w:marRight w:val="0"/>
      <w:marTop w:val="0"/>
      <w:marBottom w:val="0"/>
      <w:divBdr>
        <w:top w:val="none" w:sz="0" w:space="0" w:color="auto"/>
        <w:left w:val="none" w:sz="0" w:space="0" w:color="auto"/>
        <w:bottom w:val="none" w:sz="0" w:space="0" w:color="auto"/>
        <w:right w:val="none" w:sz="0" w:space="0" w:color="auto"/>
      </w:divBdr>
    </w:div>
    <w:div w:id="333724716">
      <w:bodyDiv w:val="1"/>
      <w:marLeft w:val="0"/>
      <w:marRight w:val="0"/>
      <w:marTop w:val="0"/>
      <w:marBottom w:val="0"/>
      <w:divBdr>
        <w:top w:val="none" w:sz="0" w:space="0" w:color="auto"/>
        <w:left w:val="none" w:sz="0" w:space="0" w:color="auto"/>
        <w:bottom w:val="none" w:sz="0" w:space="0" w:color="auto"/>
        <w:right w:val="none" w:sz="0" w:space="0" w:color="auto"/>
      </w:divBdr>
    </w:div>
    <w:div w:id="686250606">
      <w:bodyDiv w:val="1"/>
      <w:marLeft w:val="0"/>
      <w:marRight w:val="0"/>
      <w:marTop w:val="0"/>
      <w:marBottom w:val="0"/>
      <w:divBdr>
        <w:top w:val="none" w:sz="0" w:space="0" w:color="auto"/>
        <w:left w:val="none" w:sz="0" w:space="0" w:color="auto"/>
        <w:bottom w:val="none" w:sz="0" w:space="0" w:color="auto"/>
        <w:right w:val="none" w:sz="0" w:space="0" w:color="auto"/>
      </w:divBdr>
    </w:div>
    <w:div w:id="1630013310">
      <w:bodyDiv w:val="1"/>
      <w:marLeft w:val="0"/>
      <w:marRight w:val="0"/>
      <w:marTop w:val="0"/>
      <w:marBottom w:val="0"/>
      <w:divBdr>
        <w:top w:val="none" w:sz="0" w:space="0" w:color="auto"/>
        <w:left w:val="none" w:sz="0" w:space="0" w:color="auto"/>
        <w:bottom w:val="none" w:sz="0" w:space="0" w:color="auto"/>
        <w:right w:val="none" w:sz="0" w:space="0" w:color="auto"/>
      </w:divBdr>
    </w:div>
    <w:div w:id="1931349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529B949A6D3C41ACDC9F830FECB9D4" ma:contentTypeVersion="1" ma:contentTypeDescription="Create a new document." ma:contentTypeScope="" ma:versionID="18a19f5a39f69a132140733c5bee69ba">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443CAC4-6BDE-46CE-B9AE-478809EB2BD5}"/>
</file>

<file path=customXml/itemProps3.xml><?xml version="1.0" encoding="utf-8"?>
<ds:datastoreItem xmlns:ds="http://schemas.openxmlformats.org/officeDocument/2006/customXml" ds:itemID="{A43F5A78-97DE-41D3-BCE0-60B02DF58DBF}"/>
</file>

<file path=customXml/itemProps4.xml><?xml version="1.0" encoding="utf-8"?>
<ds:datastoreItem xmlns:ds="http://schemas.openxmlformats.org/officeDocument/2006/customXml" ds:itemID="{5CA73188-5FE5-48DA-8F67-082FE8D659DF}"/>
</file>

<file path=docProps/app.xml><?xml version="1.0" encoding="utf-8"?>
<Properties xmlns="http://schemas.openxmlformats.org/officeDocument/2006/extended-properties" xmlns:vt="http://schemas.openxmlformats.org/officeDocument/2006/docPropsVTypes">
  <Template>Normal</Template>
  <TotalTime>63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Jasper, Jeff D.</cp:lastModifiedBy>
  <cp:revision>3</cp:revision>
  <dcterms:created xsi:type="dcterms:W3CDTF">2025-06-23T12:52:00Z</dcterms:created>
  <dcterms:modified xsi:type="dcterms:W3CDTF">2025-06-23T12:53:00Z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0x010100C3529B949A6D3C41ACDC9F830FECB9D4</vt:lpwstr>
  </property>
</Properties>
</file>